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52"/>
          <w:szCs w:val="52"/>
        </w:rPr>
        <w:t xml:space="preserve">UFO V2 — Phase 1 Bronze</w:t>
      </w:r>
    </w:p>
    <w:p>
      <w:pPr>
        <w:spacing w:after="160"/>
        <w:jc w:val="center"/>
      </w:pPr>
      <w:r>
        <w:rPr>
          <w:color w:val="2E75B6"/>
          <w:sz w:val="32"/>
          <w:szCs w:val="32"/>
        </w:rPr>
        <w:t xml:space="preserve">Design Note &amp; Operating Guide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v2_bronze package — five V2 sources wired into typed, TZ-normalized Bronze datasets.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Owner: Solution Architecture · Date: 12 May 2026 · Status: Implemented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20" w:line="300"/>
      </w:pPr>
      <w:r>
        <w:t xml:space="preserve">This document describes the Phase 1 (P1) Bronze layer that wires the five TechRequest V2 source files into typed, timezone-normalized Bronze datasets. It is the lowest-risk, highest-leverage first move in the UFO V2 migration: V1 transforms remain untouched and operating, while V2 sources become available downstream in a stable shape.</w:t>
      </w:r>
    </w:p>
    <w:p>
      <w:pPr>
        <w:pStyle w:val="Heading2"/>
        <w:spacing w:after="160" w:before="280"/>
      </w:pPr>
      <w:r>
        <w:t xml:space="preserve">1.1 What Phase 1 delivers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new sibling package DataTransformationRepository/v2_bronze/ — no V1 files are modified.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Five Bronze transforms, one per V2 source, each writing a strictly-typed dataset.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shared _bronze_utils.py module with TZ normalization, array parsing, type-safe casts, a RID registry, and a uniform data-quality column suite.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standing local smoke test that exercises the helpers against the sample V2 CSVs.</w:t>
      </w:r>
    </w:p>
    <w:p>
      <w:pPr>
        <w:pStyle w:val="Heading2"/>
        <w:spacing w:after="160" w:before="280"/>
      </w:pPr>
      <w:r>
        <w:t xml:space="preserve">1.2 What Phase 1 explicitly excludes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business logic — Bronze is content-preserving (the sole exception is timezone normalization, which is a contract requirement, not a transformation).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incrementality — the transforms are full-snapshot. Incrementality is a Phase 5 deliverable.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ontology binding — Bronze datasets are not bound to object types. That happens in Phase 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changes to the V1 transforms, V1 datasets, V1 ontology, or V1 dashboards.</w:t>
      </w:r>
    </w:p>
    <w:p>
      <w:pPr>
        <w:pStyle w:val="Heading1"/>
        <w:spacing w:after="200" w:before="360"/>
      </w:pPr>
      <w:r>
        <w:t xml:space="preserve">2. Package Layout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DataTransformationRepository/
├── ApprDoc.py            ← V1, untouched
├── ICAOObjects.py        ← V1, untouched
├── MessageParsing.py     ← V1, untouched
├── NicoTest.py           ← V1, untouched
├── UFOEntries.py         ← V1, untouched
├── UFOPath.py            ← V1, untouched
└── v2_bronze/            ← NEW Phase 1 package
    ├── __init__.py
    ├── _bronze_utils.py
    ├── bronze_techrequest_index.py
    ├── bronze_dossier_metadata.py
    ├── bronze_messages_metadata.py
    ├── bronze_manufacturing_quality_reference.py
    └── bronze_linked_dossier.py</w:t>
      </w:r>
    </w:p>
    <w:p>
      <w:pPr>
        <w:spacing w:after="120" w:line="300"/>
      </w:pPr>
      <w:r>
        <w:t xml:space="preserve">Every Bronze module follows the same skeleton: a BRONZE_SCHEMA constant, a private _transform() function that takes a DataFrame and returns a DataFrame, and a @transform-decorated compute() driver. The split between _transform() and compute() exists so that the transformation is testable outside Foundry (see §7).</w:t>
      </w:r>
    </w:p>
    <w:p>
      <w:pPr>
        <w:pStyle w:val="Heading1"/>
        <w:spacing w:after="200" w:before="360"/>
      </w:pPr>
      <w:r>
        <w:t xml:space="preserve">3. Source → Bronze Dataset Map</w:t>
      </w:r>
    </w:p>
    <w:p>
      <w:pPr>
        <w:spacing w:after="120" w:line="300"/>
      </w:pPr>
      <w:r>
        <w:t xml:space="preserve">Each row below maps a TechRequest V2 source file to its Bronze output. The RID column shows the logical key registered in _bronze_utils.RIDS — operators paste real Foundry RIDs over the PLACEHOLDER values when standing up the datasets.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33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V2 Source File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Bronze Module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Logical RID Key (input → output)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Smoke-Test Row Count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techrequest_index_metadata_v2.csv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bronze_techrequest_index.py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raw.techrequest_index → bronze.techrequest_index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58,441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tr_dossier_metadata_filtered.csv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bronze_dossier_metadata.py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raw.dossier_metadata → bronze.dossier_metadata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3,936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tr_messages_metadata.csv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bronze_messages_metadata.py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raw.messages_metadata → bronze.messages_metadata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70,398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tr_manufacturing_quality_reference.csv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bronze_manufacturing_quality_reference.py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raw.manufacturing_quality_reference → bronze.manufacturing_quality_reference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3,926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tr_linked_dossier.csv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bronze_linked_dossier.py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raw.linked_dossier → bronze.linked_dossier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61,919</w:t>
            </w:r>
          </w:p>
        </w:tc>
      </w:tr>
    </w:tbl>
    <w:p>
      <w:pPr>
        <w:pStyle w:val="Heading1"/>
        <w:spacing w:after="200" w:before="360"/>
      </w:pPr>
      <w:r>
        <w:t xml:space="preserve">4. Bronze Contract</w:t>
      </w:r>
    </w:p>
    <w:p>
      <w:pPr>
        <w:spacing w:after="120" w:line="300"/>
      </w:pPr>
      <w:r>
        <w:t xml:space="preserve">Every Bronze dataset is required to satisfy four guarantees. Downstream layers (Silver in Phase 2, Gold in Phase 3) can assume these without checking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Guarantee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Implementation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Typed columns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column has a strict Spark type from the BRONZE_SCHEMA. Booleans are BooleanType, integers IntegerType, decimals DoubleType, arrays ArrayType(_), strings StringType (with empty strings coerced to NULL).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_bronze_utils.parse_bool / parse_int / parse_double / parse_string / parse_int_array / parse_str_array + select_with_schema().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Timestamps in UTC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(value, *_tz) timestamp pair from V2 is collapsed into a single TimestampType column whose stored instant is UTC. The original offset string is retained in the *_tz column for display only.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_bronze_utils.parse_tz_timestamp(value_col, tz_col) — concatenates value with offset, normalizes session TZ to UTC, then calls to_timestamp.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Content-preserving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rows are dropped; no values are translated; no columns are joined or aggregated. The Bronze contract is the V2 contract minus encoding noise.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Each module only re-types and re-arranges its source columns.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DQ columns appended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_ingested_at (TimestampType, run wall-clock UTC), _source_dataset (StringType, logical name of the raw source), _row_uid (StringType, SHA-256 of the row's concatenated string values).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_bronze_utils.with_dq_columns(df, source_dataset_name).</w:t>
            </w:r>
          </w:p>
        </w:tc>
      </w:tr>
    </w:tbl>
    <w:p>
      <w:pPr>
        <w:pStyle w:val="Heading2"/>
        <w:spacing w:after="160" w:before="280"/>
      </w:pPr>
      <w:r>
        <w:t xml:space="preserve">4.1 Why two columns per timestamp?</w:t>
      </w:r>
    </w:p>
    <w:p>
      <w:pPr>
        <w:spacing w:after="120" w:line="300"/>
      </w:pPr>
      <w:r>
        <w:t xml:space="preserve">V2 splits every timestamp into a naive value column ("2026-01-07 03:43:15") and a separate offset column ("-05:00"). Casting the value column alone to TimestampType would silently interpret it in the cluster's session timezone — which produces wrong UTC instants for any non-UTC operator. The contract here is: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Set spark.sql.session.timeZone to UTC at the top of every Bronze driver.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Build an ISO-8601 string by concatenating the value column with the offset ("2026-01-07T03:43:15-05:00").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Call to_timestamp(). Spark parses the offset and stores the correct UTC instant.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Keep the original *_tz column as a String. Downstream code that needs to display the timestamp in the operator's local time uses the offset; downstream code that does arithmetic uses the UTC value.</w:t>
      </w:r>
    </w:p>
    <w:p>
      <w:pPr>
        <w:pStyle w:val="Heading2"/>
        <w:spacing w:after="160" w:before="280"/>
      </w:pPr>
      <w:r>
        <w:t xml:space="preserve">4.2 Verified TZ-normalization examples</w:t>
      </w:r>
    </w:p>
    <w:p>
      <w:pPr>
        <w:spacing w:after="120" w:line="300"/>
      </w:pPr>
      <w:r>
        <w:t xml:space="preserve">From the smoke-test run against the supplied sample CSVs: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2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 row (V2)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Original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Offset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Stored UTC instant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techrequest_index, dossier 81316490 creation_time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2023-11-24 12:28:43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-05:00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2023-11-24 17:28:43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tr_dossier_metadata, dossier 81720108 dossier_creation_time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2026-01-07 03:43:15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-05:00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2026-01-07 08:43:15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tr_messages_metadata, message 81202403/008 creation_time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2023-04-17 11:14:21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-04:00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2023-04-17 15:14:21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tr_manufacturing_quality_reference, RI-25.0585 rfi_creation_time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2025-04-11 01:54:59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-04:00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2025-04-11 05:54:59</w:t>
            </w:r>
          </w:p>
        </w:tc>
      </w:tr>
    </w:tbl>
    <w:p>
      <w:pPr>
        <w:pStyle w:val="Heading1"/>
        <w:spacing w:after="200" w:before="360"/>
      </w:pPr>
      <w:r>
        <w:t xml:space="preserve">5. RID Registry</w:t>
      </w:r>
    </w:p>
    <w:p>
      <w:pPr>
        <w:spacing w:after="120" w:line="300"/>
      </w:pPr>
      <w:r>
        <w:t xml:space="preserve">All input / output dataset RIDs live in a single Python dict, _bronze_utils.RIDS. Transform modules look up RIDs by logical key via rid("raw.techrequest_index"). This avoids the V1 pattern of pasting ri.foundry.main.dataset.&lt;uuid&gt; into every file.</w:t>
      </w:r>
    </w:p>
    <w:p>
      <w:pPr>
        <w:pStyle w:val="Heading2"/>
        <w:spacing w:after="160" w:before="280"/>
      </w:pPr>
      <w:r>
        <w:t xml:space="preserve">5.1 Logical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Key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Meaning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raw.techrequest_index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dossier index, raw upload.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raw.dossier_metadata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Wide dossier-context table (post-treatment, interruption, requestor).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raw.messages_metadata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message events.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raw.manufacturing_quality_reference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Skywise RFI register.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raw.linked_dossier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Dossier-to-dossier Move/Copy links.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bronze.techrequest_index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Typed Bronze of the dossier index.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bronze.dossier_metadata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Typed Bronze of the wide dossier-context table.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bronze.messages_metadata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Typed Bronze of V2 messages.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bronze.manufacturing_quality_reference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Typed Bronze of Skywise RFI register.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bronze.linked_dossier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Typed Bronze of the linked-dossier register.</w:t>
            </w:r>
          </w:p>
        </w:tc>
      </w:tr>
    </w:tbl>
    <w:p>
      <w:pPr>
        <w:pStyle w:val="Heading2"/>
        <w:spacing w:after="160" w:before="280"/>
      </w:pPr>
      <w:r>
        <w:t xml:space="preserve">5.2 Operator runbook — rebind RIDs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Create the five raw datasets in Foundry by uploading the CSVs (or pointing them at the upstream Skywise feeds).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Create the five empty Bronze datasets — Foundry assigns each a RID.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Open DataTransformationRepository/v2_bronze/_bronze_utils.py and paste each real RID over the matching PLACEHOLDER value in the RIDS dict.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Commit. The next CI build picks up the new RIDs; no other code changes are needed.</w:t>
      </w:r>
    </w:p>
    <w:p>
      <w:pPr>
        <w:pStyle w:val="Heading1"/>
        <w:spacing w:after="200" w:before="360"/>
      </w:pPr>
      <w:r>
        <w:t xml:space="preserve">6. Helper API Reference</w:t>
      </w:r>
    </w:p>
    <w:p>
      <w:pPr>
        <w:spacing w:after="120" w:line="300"/>
      </w:pPr>
      <w:r>
        <w:t xml:space="preserve">Every Bronze module imports from _bronze_utils. The full helper surface: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Signature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get_spark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get_spark(app_name) → SparkSession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 a SparkSession with spark.sql.session.timeZone set to UTC and adaptive execution enabled. Call once per driver.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rid(name) → str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Look up a dataset RID by logical name from the RIDS registry. Raises KeyError with a helpful message if the key is unknown.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parse_tz_timestamp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parse_tz_timestamp(value_col, tz_col)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Normalize a V2 (value, tz) pair into a UTC TimestampType column. NULL-safe.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parse_bool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parse_bool(col_name)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Cast 'true' / 'false' / '1' / '0' (case-insensitive) to BooleanType; anything else is NULL (not silently bucketed).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parse_int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parse_int(col_name)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Trim and cast to IntegerType, empty / 'null' inputs become NULL.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parse_long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parse_long(col_name)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as parse_int but LongType.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parse_double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parse_double(col_name)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as parse_int but DoubleType.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parse_string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parse_string(col_name)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Trim and coerce empty strings to NULL.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parse_int_array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parse_int_array(col_name)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 '[1234, 5678]' into Array&lt;Integer&gt;. Handles '[]' → empty array.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parse_str_array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parse_str_array(col_name) → Column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Parse '[ABC, DEF]' into Array&lt;String&gt;.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with_dq_columns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with_dq_columns(df, source_dataset_name) → DataFrame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Append _ingested_at, _source_dataset, _row_uid columns.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select_with_schema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select_with_schema(df, schema) → DataFrame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Project df so it matches schema exactly. Missing columns are added as typed NULLs; extra columns are dropped.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empty_string_input_schema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empty_string_input_schema(column_names) → StructType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 an all-StringType StructType for safe CSV reads. Used in the smoke test.</w:t>
            </w:r>
          </w:p>
        </w:tc>
      </w:tr>
    </w:tbl>
    <w:p>
      <w:pPr>
        <w:pStyle w:val="Heading1"/>
        <w:spacing w:after="200" w:before="360"/>
      </w:pPr>
      <w:r>
        <w:t xml:space="preserve">7. Local Testing</w:t>
      </w:r>
    </w:p>
    <w:p>
      <w:pPr>
        <w:spacing w:after="120" w:line="300"/>
      </w:pPr>
      <w:r>
        <w:t xml:space="preserve">A standing local smoke test (outputs/smoke_test.py) stubs the transforms.api module, then loads each of the five sample CSVs from Data/ and runs the corresponding _transform() function. It prints row counts, column counts, type spot-checks, and three normalized timestamps per source.</w:t>
      </w:r>
    </w:p>
    <w:p>
      <w:pPr>
        <w:pStyle w:val="Heading2"/>
        <w:spacing w:after="160" w:before="280"/>
      </w:pPr>
      <w:r>
        <w:t xml:space="preserve">7.1 Run instructions</w:t>
      </w:r>
    </w:p>
    <w:p>
      <w:pPr>
        <w:shd w:fill="F5F5F5" w:val="clear"/>
        <w:spacing w:after="80" w:line="260"/>
      </w:pPr>
      <w:r>
        <w:rPr>
          <w:rFonts w:ascii="Consolas" w:cs="Consolas" w:eastAsia="Consolas" w:hAnsi="Consolas"/>
          <w:sz w:val="18"/>
          <w:szCs w:val="18"/>
        </w:rPr>
        <w:t xml:space="preserve"># 1. Install PySpark 3.5.x (Java 11 compatible)
#    pip install --break-system-packages pyspark
# 2. Ensure Java 17 is on the path (PySpark 4.x requires it)
# 3. Set hostname overrides so the JVM can bind locally:
export SPARK_LOCAL_IP=127.0.0.1
export SPARK_LOCAL_HOSTNAME=localhost
# 4. Run
python3 outputs/smoke_test.py</w:t>
      </w:r>
    </w:p>
    <w:p>
      <w:pPr>
        <w:pStyle w:val="Heading2"/>
        <w:spacing w:after="160" w:before="280"/>
      </w:pPr>
      <w:r>
        <w:t xml:space="preserve">7.2 What the smoke test verified (run on 12 May 2026)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5 sources load without errors and emit row counts that match the source CSVs.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BRONZE_SCHEMA columns are present; column count = raw column count + 3 (DQ columns).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(value, tz) timestamp pair normalized to the correct UTC instant — verified by manually computing the offset shift on three sample rows per source.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Array-string columns (manufacturer_aircraft_id, skywise_aircraft_id, aircraft_msn, visible_by_company_id, visible_by_company_name, approval_doc_type) parse cleanly. Both single-element ('[N04937]') and multi-element ('[CWA000421]') forms are handled.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Boolean columns from V2 strings ('true' / 'false') are correctly typed.</w:t>
      </w:r>
    </w:p>
    <w:p>
      <w:pPr>
        <w:pStyle w:val="Heading2"/>
        <w:spacing w:after="160" w:before="280"/>
      </w:pPr>
      <w:r>
        <w:t xml:space="preserve">7.3 Caveats observed during the run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Spark's nullable flag defaults to True after cast(); the BRONZE_SCHEMA marks identity columns nullable=False. This is a cosmetic comparison difference, not a data issue. If strict-nullable enforcement is required, wrap select_with_schema() in a follow-up filter that drops rows where the key column is NULL.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PySpark 4.x requires Java 17; the project's CI image must include it. If only Java 11 is available, pin pyspark==3.5.1.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CSVs with multi-line cells (tr_dossier_metadata_filtered's long descriptions) require .option('multiLine', True) at read time, which Foundry's CSV ingestor handles by default.</w:t>
      </w:r>
    </w:p>
    <w:p>
      <w:pPr>
        <w:pStyle w:val="Heading1"/>
        <w:spacing w:after="200" w:before="360"/>
      </w:pPr>
      <w:r>
        <w:t xml:space="preserve">8. Operating Notes</w:t>
      </w:r>
    </w:p>
    <w:p>
      <w:pPr>
        <w:pStyle w:val="Heading2"/>
        <w:spacing w:after="160" w:before="280"/>
      </w:pPr>
      <w:r>
        <w:t xml:space="preserve">8.1 Build cadence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Bronze runs are scheduled on the same cadence as the upstream V2 ingest (typically daily). Until P5 introduces @incremental, each run is a full snapshot — expect runtime to scale linearly with row count.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Approximate runtime for the supplied sample on a small Spark cluster: &lt; 30 seconds per source. Production volumes will dominate.</w:t>
      </w:r>
    </w:p>
    <w:p>
      <w:pPr>
        <w:pStyle w:val="Heading2"/>
        <w:spacing w:after="160" w:before="280"/>
      </w:pPr>
      <w:r>
        <w:t xml:space="preserve">8.2 Monitoring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Watch _ingested_at distribution on each Bronze dataset — gaps indicate a missed run.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Set an alert on row-count delta between consecutive Bronze runs. Bronze should never see a &gt;10% row-count drop (would signal upstream truncation).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Spot-check _row_uid uniqueness per partition once per week. Duplicates indicate upstream duplicates.</w:t>
      </w:r>
    </w:p>
    <w:p>
      <w:pPr>
        <w:pStyle w:val="Heading2"/>
        <w:spacing w:after="160" w:before="280"/>
      </w:pPr>
      <w:r>
        <w:t xml:space="preserve">8.3 Backfill and re-run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To re-run a Bronze transform, simply trigger the build in Foundry — full snapshot semantics make backfill safe.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the upstream CSV is corrected, re-trigger; _ingested_at will record the new run.</w:t>
      </w:r>
    </w:p>
    <w:p>
      <w:pPr>
        <w:pStyle w:val="Heading2"/>
        <w:spacing w:after="160" w:before="280"/>
      </w:pPr>
      <w:r>
        <w:t xml:space="preserve">8.4 Coexistence with V1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V1 transforms continue to populate the V1 ontology datasets. No V1 RID is read or written by the v2_bronze package.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Until P3 binds Bronze to new V2 object types, downstream Workshop dashboards continue to read from V1 datasets.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V1↔V2 parity harness (P2 deliverable) will join Bronze against the V1 UfoEntry output on dossier_internal_id to spot any drift before cutover.</w:t>
      </w:r>
    </w:p>
    <w:p>
      <w:pPr>
        <w:pStyle w:val="Heading1"/>
        <w:spacing w:after="200" w:before="360"/>
      </w:pPr>
      <w:r>
        <w:t xml:space="preserve">9. Phase 1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00"/>
        <w:gridCol w:w="12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Criterion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v2_bronze package exists at DataTransformationRepository/v2_bronze/ and imports cleanly.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Five Bronze modules — one per V2 source — present and decorated with @transform.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five Bronze schemas typed (no implicit StringType for booleans, integers, timestamps, arrays).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V2 (value, *_tz) timestamp pair collapsed to a single UTC TimestampType column; the *_tz string is retained.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DQ columns _ingested_at, _source_dataset, _row_uid appended to every Bronze dataset.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A6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dataset RIDs centralized in _bronze_utils.RIDS, referenced via rid() lookups.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A7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Local smoke test runs against the sample CSVs and shows correct row counts, types, and TZ math.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A8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V1 file under DataTransformationRepository/ modified (verified by file-hash comparison).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Met.</w:t>
            </w:r>
          </w:p>
        </w:tc>
      </w:tr>
    </w:tbl>
    <w:p>
      <w:pPr>
        <w:pStyle w:val="Heading2"/>
        <w:spacing w:after="160" w:before="280"/>
      </w:pPr>
      <w:r>
        <w:t xml:space="preserve">9.1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Approver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Engineering Lead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Solution Architecture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10. Next Steps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Operator action — bind real RIDs. </w:t>
      </w:r>
      <w:r>
        <w:t xml:space="preserve">Replace the ten PLACEHOLDER values in _bronze_utils.RIDS with the real Foundry RIDs once the datasets exist.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Wire the build schedule. </w:t>
      </w:r>
      <w:r>
        <w:t xml:space="preserve">Add a Foundry schedule that runs each compute() driver after the upstream raw dataset refreshes.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Phase 2 (Silver + parity). </w:t>
      </w:r>
      <w:r>
        <w:t xml:space="preserve">Build Silver consumers that read Bronze and reproduce V1 UfoEntry / Message / ApprovalDoc / Path / Icao outputs using DataFrame APIs. The parity harness compares Silver against the still-running V1 output.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Phase 3 (Ontology re-shape) </w:t>
      </w:r>
      <w:r>
        <w:t xml:space="preserve">can start in parallel: TechRequestDossier interface, new object types from §5.2 of the Initial Review, and the new Link / Struct types.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Solution Architecture · v1.0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UFO V2 · Phase 1 Bronze Design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UFO V2 — Phase 1 Bronze Design Note</dc:title>
  <dc:creator>Solution Architecture</dc:creator>
  <dc:description>Phase 1 Bronze layer: design, schema-cast policy, TZ contract, RID registry, smoke-test results, acceptance criteria.</dc:description>
  <cp:lastModifiedBy>Un-named</cp:lastModifiedBy>
  <cp:revision>1</cp:revision>
  <dcterms:created xsi:type="dcterms:W3CDTF">2026-05-12T14:43:58.953Z</dcterms:created>
  <dcterms:modified xsi:type="dcterms:W3CDTF">2026-05-12T14:43:58.953Z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