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joshua-sternadel"/>
      <w:r>
        <w:t xml:space="preserve">Joshua Sternadel</w:t>
      </w:r>
      <w:bookmarkEnd w:id="20"/>
    </w:p>
    <w:p>
      <w:pPr>
        <w:pStyle w:val="FirstParagraph"/>
      </w:pPr>
      <w:r>
        <w:rPr>
          <w:b/>
        </w:rPr>
        <w:t xml:space="preserve">Kansas City, MO |</w:t>
      </w:r>
      <w:r>
        <w:rPr>
          <w:b/>
        </w:rPr>
        <w:t xml:space="preserve"> </w:t>
      </w:r>
      <w:hyperlink r:id="rId21">
        <w:r>
          <w:rPr>
            <w:rStyle w:val="Hyperlink"/>
            <w:b/>
          </w:rPr>
          <w:t xml:space="preserve">Contact via LinkedIn</w:t>
        </w:r>
      </w:hyperlink>
    </w:p>
    <w:p>
      <w:pPr>
        <w:pStyle w:val="Heading3"/>
      </w:pPr>
      <w:bookmarkStart w:id="22" w:name="Xbe238462729bb1228a43e9bf6db42d709dea89b"/>
      <w:r>
        <w:t xml:space="preserve">Systems Architect &amp; Principal Infrastructure Engineer</w:t>
      </w:r>
      <w:bookmarkEnd w:id="22"/>
    </w:p>
    <w:p>
      <w:pPr>
        <w:pStyle w:val="FirstParagraph"/>
      </w:pPr>
      <w:r>
        <w:t xml:space="preserve">A high-capacity Systems Architect and U.S. Patent author leveraging advanced spatial thinking and first-principles engineering to resolve complex structural debt. A self-directed technical anchor with 16 years of tech experience, including 13 years driving radical automation, distributed systems design, and continuous DevSecOps compliance across massive Fortune 500 telecom environments. Proven track record of securing mission-critical stability through major corporate mergers, high-stakes enterprise cloud migrations, and complex algorithmic problem-solving.</w:t>
      </w:r>
    </w:p>
    <w:p>
      <w:pPr>
        <w:pStyle w:val="Heading3"/>
      </w:pPr>
      <w:bookmarkStart w:id="23" w:name="core-competencies"/>
      <w:r>
        <w:t xml:space="preserve">Core Competencies</w:t>
      </w:r>
      <w:bookmarkEnd w:id="23"/>
    </w:p>
    <w:p>
      <w:pPr>
        <w:pStyle w:val="FirstParagraph"/>
      </w:pPr>
      <w:r>
        <w:t xml:space="preserve">Team Leadership | Systems Architecture | Solutions Engineering | Efficiency and Productivity Specialist</w:t>
      </w:r>
    </w:p>
    <w:p>
      <w:pPr>
        <w:pStyle w:val="Heading3"/>
      </w:pPr>
      <w:bookmarkStart w:id="24" w:name="key-achievements"/>
      <w:r>
        <w:t xml:space="preserve">Key Achievements</w:t>
      </w:r>
      <w:bookmarkEnd w:id="24"/>
    </w:p>
    <w:p>
      <w:pPr>
        <w:numPr>
          <w:ilvl w:val="0"/>
          <w:numId w:val="1001"/>
        </w:numPr>
      </w:pPr>
      <w:r>
        <w:rPr>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
        </w:rPr>
        <w:t xml:space="preserve">U.S. Patent Author (#10,366,069):</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p>
      <w:pPr>
        <w:pStyle w:val="Heading3"/>
      </w:pPr>
      <w:bookmarkStart w:id="25" w:name="professional-experience"/>
      <w:r>
        <w:t xml:space="preserve">Professional Experience</w:t>
      </w:r>
      <w:bookmarkEnd w:id="25"/>
    </w:p>
    <w:p>
      <w:pPr>
        <w:pStyle w:val="FirstParagraph"/>
      </w:pPr>
      <w:r>
        <w:rPr>
          <w:b/>
        </w:rPr>
        <w:t xml:space="preserve">T-Mobile</w:t>
      </w:r>
      <w:r>
        <w:t xml:space="preserve"> </w:t>
      </w:r>
      <w:r>
        <w:t xml:space="preserve">| Solutions Architect | Senior Systems Engineer | 2021 to 2026</w:t>
      </w:r>
      <w:r>
        <w:br/>
      </w:r>
      <w:r>
        <w:rPr>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
        </w:rPr>
        <w:t xml:space="preserve">Enterprise Cloud Migration:</w:t>
      </w:r>
      <w:r>
        <w:t xml:space="preserve"> </w:t>
      </w:r>
      <w:r>
        <w:t xml:space="preserve">Architected and executed the high-integrity migration of a decade’s worth of metadata, complex workflows, and mission-critical certification data from Jira Data Center to Jira Cloud; successfully preserved zero-loss continuity across 300+ proprietary device projects supporting 3,000+ active enterprise users.</w:t>
      </w:r>
    </w:p>
    <w:p>
      <w:pPr>
        <w:numPr>
          <w:ilvl w:val="0"/>
          <w:numId w:val="1002"/>
        </w:numPr>
      </w:pPr>
      <w:r>
        <w:rPr>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numPr>
          <w:ilvl w:val="0"/>
          <w:numId w:val="1002"/>
        </w:numPr>
      </w:pPr>
      <w:r>
        <w:rPr>
          <w:b/>
        </w:rPr>
        <w:t xml:space="preserve">Full-Lifecycle Application Engineering (Angular &amp; Serverless):</w:t>
      </w:r>
    </w:p>
    <w:p>
      <w:pPr>
        <w:numPr>
          <w:ilvl w:val="1"/>
          <w:numId w:val="1003"/>
        </w:numPr>
        <w:pStyle w:val="Compact"/>
      </w:pPr>
      <w:r>
        <w:t xml:space="preserve">Authored and launched a high-visibility 5G Speed Calculator application utilizing Angular and a modern serverless deployment pipeline to ensure instant scalability and zero infrastructure overhead.</w:t>
      </w:r>
    </w:p>
    <w:p>
      <w:pPr>
        <w:numPr>
          <w:ilvl w:val="1"/>
          <w:numId w:val="1003"/>
        </w:numPr>
        <w:pStyle w:val="Compact"/>
      </w:pPr>
      <w:r>
        <w:t xml:space="preserve">Designed and engineered a custom Device Pre-Load Feature Enablement Tracker, providing corporate stakeholders with real-time visibility into baseline software states across mobile devices.</w:t>
      </w:r>
    </w:p>
    <w:p>
      <w:pPr>
        <w:numPr>
          <w:ilvl w:val="1"/>
          <w:numId w:val="1003"/>
        </w:numPr>
        <w:pStyle w:val="Compact"/>
      </w:pPr>
      <w:r>
        <w:t xml:space="preserve">Bridged the gap between UI/UX design concepts and technical feasibility, establishing strict component styling and layout standards to ensure frontend performance and visual consistency.</w:t>
      </w:r>
    </w:p>
    <w:p>
      <w:pPr>
        <w:pStyle w:val="FirstParagraph"/>
      </w:pPr>
      <w:r>
        <w:rPr>
          <w:b/>
        </w:rPr>
        <w:t xml:space="preserve">Sprint</w:t>
      </w:r>
      <w:r>
        <w:t xml:space="preserve"> </w:t>
      </w:r>
      <w:r>
        <w:t xml:space="preserve">| Principal Engineer | Application Developer III | 2017 to 2021</w:t>
      </w:r>
      <w:r>
        <w:br/>
      </w:r>
      <w:r>
        <w:rPr>
          <w:i/>
        </w:rPr>
        <w:t xml:space="preserve">Served as Core Technical Advisor and Architectural Gatekeeper to leadership, maintaining absolute technical veto power and engineering oversight for all departmental systems and cross-functional integrations.</w:t>
      </w:r>
    </w:p>
    <w:p>
      <w:pPr>
        <w:numPr>
          <w:ilvl w:val="0"/>
          <w:numId w:val="1004"/>
        </w:numPr>
      </w:pPr>
      <w:r>
        <w:rPr>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4"/>
        </w:numPr>
      </w:pPr>
      <w:r>
        <w:rPr>
          <w:b/>
        </w:rPr>
        <w:t xml:space="preserve">Distributed Systems:</w:t>
      </w:r>
      <w:r>
        <w:t xml:space="preserve"> </w:t>
      </w:r>
      <w:r>
        <w:t xml:space="preserve">Designed and deployed</w:t>
      </w:r>
      <w:r>
        <w:t xml:space="preserve"> </w:t>
      </w:r>
      <w:r>
        <w:t xml:space="preserve">“</w:t>
      </w:r>
      <w:r>
        <w:t xml:space="preserve">Porcupine,</w:t>
      </w:r>
      <w:r>
        <w:t xml:space="preserve">”</w:t>
      </w:r>
      <w:r>
        <w:t xml:space="preserve"> </w:t>
      </w:r>
      <w:r>
        <w:t xml:space="preserve">a custom event-driven message bus architected on top of RabbitMQ; seamlessly synchronized live Jira workflow states with downstream application environments, establishing a single source of truth and eliminating cross-system data lag.</w:t>
      </w:r>
    </w:p>
    <w:p>
      <w:pPr>
        <w:numPr>
          <w:ilvl w:val="0"/>
          <w:numId w:val="1004"/>
        </w:numPr>
      </w:pPr>
      <w:r>
        <w:rPr>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4"/>
        </w:numPr>
      </w:pPr>
      <w:r>
        <w:rPr>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4"/>
        </w:numPr>
      </w:pPr>
      <w:r>
        <w:rPr>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4"/>
        </w:numPr>
      </w:pPr>
      <w:r>
        <w:rPr>
          <w:b/>
        </w:rPr>
        <w:t xml:space="preserve">Data Architecture &amp; Engineering Prototyping:</w:t>
      </w:r>
    </w:p>
    <w:p>
      <w:pPr>
        <w:numPr>
          <w:ilvl w:val="1"/>
          <w:numId w:val="1005"/>
        </w:numPr>
        <w:pStyle w:val="Compact"/>
      </w:pPr>
      <w:r>
        <w:t xml:space="preserve">Architected and validated a standalone Dremio data lakehouse POC designed to federate data layers across distributed MS SQL, MySQL, and MongoDB environments.</w:t>
      </w:r>
    </w:p>
    <w:p>
      <w:pPr>
        <w:numPr>
          <w:ilvl w:val="1"/>
          <w:numId w:val="1005"/>
        </w:numPr>
        <w:pStyle w:val="Compact"/>
      </w:pPr>
      <w:r>
        <w:t xml:space="preserve">Proved the viability of zero-ETL query federation across relational and NoSQL silos, establishing a blueprint for unified data access.</w:t>
      </w:r>
    </w:p>
    <w:p>
      <w:pPr>
        <w:numPr>
          <w:ilvl w:val="0"/>
          <w:numId w:val="1004"/>
        </w:numPr>
      </w:pPr>
      <w:r>
        <w:rPr>
          <w:b/>
        </w:rPr>
        <w:t xml:space="preserve">Observability &amp; Infrastructure Telemetry:</w:t>
      </w:r>
    </w:p>
    <w:p>
      <w:pPr>
        <w:numPr>
          <w:ilvl w:val="1"/>
          <w:numId w:val="1006"/>
        </w:numPr>
        <w:pStyle w:val="Compact"/>
      </w:pPr>
      <w:r>
        <w:t xml:space="preserve">Built an integrated observability platform using the ELK Stack, Prometheus, and Grafana across a 45-VM development environment.</w:t>
      </w:r>
    </w:p>
    <w:p>
      <w:pPr>
        <w:numPr>
          <w:ilvl w:val="1"/>
          <w:numId w:val="1006"/>
        </w:numPr>
        <w:pStyle w:val="Compact"/>
      </w:pPr>
      <w:r>
        <w:t xml:space="preserve">Designed end-to-end infrastructure telemetry and automated alert routing hooks via Rocket.Chat to demonstrate proactive incident response frameworks.</w:t>
      </w:r>
    </w:p>
    <w:p>
      <w:pPr>
        <w:numPr>
          <w:ilvl w:val="1"/>
          <w:numId w:val="1006"/>
        </w:numPr>
        <w:pStyle w:val="Compact"/>
      </w:pPr>
      <w:r>
        <w:t xml:space="preserve">Engineered a custom heartbeat monitoring framework embedded within distributed .NET Core applications; piped real-time telemetry directly into Grafana to ensure proactive incident response and eliminate production blind spots.</w:t>
      </w:r>
    </w:p>
    <w:p>
      <w:pPr>
        <w:numPr>
          <w:ilvl w:val="0"/>
          <w:numId w:val="1004"/>
        </w:numPr>
      </w:pPr>
      <w:r>
        <w:rPr>
          <w:b/>
        </w:rPr>
        <w:t xml:space="preserve">Financial Stewardship &amp; Capital Forecasting:</w:t>
      </w:r>
    </w:p>
    <w:p>
      <w:pPr>
        <w:numPr>
          <w:ilvl w:val="1"/>
          <w:numId w:val="1007"/>
        </w:numPr>
        <w:pStyle w:val="Compact"/>
      </w:pPr>
      <w:r>
        <w:t xml:space="preserve">Managed and optimized the departmental infrastructure and licensing budget as it scaled from an annual spend of $300K to $1.3M.</w:t>
      </w:r>
    </w:p>
    <w:p>
      <w:pPr>
        <w:numPr>
          <w:ilvl w:val="1"/>
          <w:numId w:val="1007"/>
        </w:numPr>
        <w:pStyle w:val="Compact"/>
      </w:pPr>
      <w:r>
        <w:t xml:space="preserve">Formulated highly accurate 12-month financial and capacity projections to align capital expenditures with rapid system expansion.</w:t>
      </w:r>
    </w:p>
    <w:p>
      <w:pPr>
        <w:pStyle w:val="FirstParagraph"/>
      </w:pPr>
      <w:r>
        <w:rPr>
          <w:b/>
        </w:rPr>
        <w:t xml:space="preserve">Sprint</w:t>
      </w:r>
      <w:r>
        <w:t xml:space="preserve"> </w:t>
      </w:r>
      <w:r>
        <w:t xml:space="preserve">| Product Development Engineer II | 2013 to 2017</w:t>
      </w:r>
      <w:r>
        <w:br/>
      </w:r>
      <w:r>
        <w:rPr>
          <w:i/>
        </w:rPr>
        <w:t xml:space="preserve">Transitioned from device testing into application development through hybrid role bridging both disciplines.</w:t>
      </w:r>
    </w:p>
    <w:p>
      <w:pPr>
        <w:numPr>
          <w:ilvl w:val="0"/>
          <w:numId w:val="1008"/>
        </w:numPr>
      </w:pPr>
      <w:r>
        <w:rPr>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8"/>
        </w:numPr>
      </w:pPr>
      <w:r>
        <w:rPr>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8"/>
        </w:numPr>
      </w:pPr>
      <w:r>
        <w:rPr>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8"/>
        </w:numPr>
      </w:pPr>
      <w:r>
        <w:rPr>
          <w:b/>
        </w:rPr>
        <w:t xml:space="preserve">Release Readiness &amp; Prioritization:</w:t>
      </w:r>
      <w:r>
        <w:t xml:space="preserve"> </w:t>
      </w:r>
      <w:r>
        <w:t xml:space="preserve">Planned and prioritized weekly device onboarding for the Slate platform, improving visibility and accelerating readiness across teams.</w:t>
      </w:r>
    </w:p>
    <w:p>
      <w:pPr>
        <w:pStyle w:val="FirstParagraph"/>
      </w:pPr>
      <w:r>
        <w:rPr>
          <w:b/>
        </w:rPr>
        <w:t xml:space="preserve">EXPERIS (Contractor at Sprint)</w:t>
      </w:r>
      <w:r>
        <w:t xml:space="preserve"> </w:t>
      </w:r>
      <w:r>
        <w:t xml:space="preserve">| Technical Support Rep II | 2012 to 2013</w:t>
      </w:r>
      <w:r>
        <w:br/>
      </w:r>
      <w:r>
        <w:rPr>
          <w:i/>
        </w:rPr>
        <w:t xml:space="preserve">Developed, tested, and troubleshot XML scripts for the SLATE platform, which retail stores use for automated device testing.</w:t>
      </w:r>
    </w:p>
    <w:p>
      <w:pPr>
        <w:numPr>
          <w:ilvl w:val="0"/>
          <w:numId w:val="1009"/>
        </w:numPr>
        <w:pStyle w:val="Compact"/>
      </w:pPr>
      <w:r>
        <w:t xml:space="preserve">Wrote XML scripts for Slate automation testing of mobile devices.</w:t>
      </w:r>
    </w:p>
    <w:p>
      <w:pPr>
        <w:numPr>
          <w:ilvl w:val="0"/>
          <w:numId w:val="1009"/>
        </w:numPr>
        <w:pStyle w:val="Compact"/>
      </w:pPr>
      <w:r>
        <w:t xml:space="preserve">Worked with OEM partners, troubleshooting issues with the Slate Device Testing platform.</w:t>
      </w:r>
    </w:p>
    <w:p>
      <w:pPr>
        <w:pStyle w:val="FirstParagraph"/>
      </w:pPr>
      <w:r>
        <w:rPr>
          <w:b/>
        </w:rPr>
        <w:t xml:space="preserve">MO-KAN Container Services</w:t>
      </w:r>
      <w:r>
        <w:t xml:space="preserve"> </w:t>
      </w:r>
      <w:r>
        <w:t xml:space="preserve">| System Administrator | 2011 to 2012</w:t>
      </w:r>
    </w:p>
    <w:p>
      <w:pPr>
        <w:numPr>
          <w:ilvl w:val="0"/>
          <w:numId w:val="1010"/>
        </w:numPr>
        <w:pStyle w:val="Compact"/>
      </w:pPr>
      <w:r>
        <w:t xml:space="preserve">Managed all technology operations across 3 onsite locations, keeping systems stable and responsive for daily business needs.</w:t>
      </w:r>
    </w:p>
    <w:p>
      <w:pPr>
        <w:numPr>
          <w:ilvl w:val="0"/>
          <w:numId w:val="1010"/>
        </w:numPr>
        <w:pStyle w:val="Compact"/>
      </w:pPr>
      <w:r>
        <w:t xml:space="preserve">Planned and executed a full network modernization, replacing aging G3 servers with a VMware-based virtual infrastructure and scalable iSCSI SAN.</w:t>
      </w:r>
    </w:p>
    <w:p>
      <w:pPr>
        <w:numPr>
          <w:ilvl w:val="0"/>
          <w:numId w:val="1010"/>
        </w:numPr>
        <w:pStyle w:val="Compact"/>
      </w:pPr>
      <w:r>
        <w:t xml:space="preserve">Cut IT downtime by more than 90% through a shift to virtualized, redundant systems.</w:t>
      </w:r>
    </w:p>
    <w:p>
      <w:pPr>
        <w:numPr>
          <w:ilvl w:val="0"/>
          <w:numId w:val="1010"/>
        </w:numPr>
        <w:pStyle w:val="Compact"/>
      </w:pPr>
      <w:r>
        <w:t xml:space="preserve">Reduced IT payroll costs by nearly 18% by upgrading infrastructure and implementing automated, failover-ready environments.</w:t>
      </w:r>
    </w:p>
    <w:p>
      <w:pPr>
        <w:pStyle w:val="Heading3"/>
      </w:pPr>
      <w:bookmarkStart w:id="26" w:name="additional-relevant-experience"/>
      <w:r>
        <w:t xml:space="preserve">Additional Relevant Experience</w:t>
      </w:r>
      <w:bookmarkEnd w:id="26"/>
    </w:p>
    <w:p>
      <w:pPr>
        <w:pStyle w:val="FirstParagraph"/>
      </w:pPr>
      <w:r>
        <w:rPr>
          <w:b/>
        </w:rPr>
        <w:t xml:space="preserve">Trucking Central</w:t>
      </w:r>
      <w:r>
        <w:t xml:space="preserve"> </w:t>
      </w:r>
      <w:r>
        <w:t xml:space="preserve">| Software Consultant (Contract)</w:t>
      </w:r>
      <w:r>
        <w:br/>
      </w:r>
      <w:r>
        <w:t xml:space="preserve">Planned, developed, and tested Android-based GPS solutions for the intermodal supply chain industry.</w:t>
      </w:r>
    </w:p>
    <w:p>
      <w:pPr>
        <w:pStyle w:val="BodyText"/>
      </w:pPr>
      <w:r>
        <w:rPr>
          <w:b/>
        </w:rPr>
        <w:t xml:space="preserve">Innovative Solutions</w:t>
      </w:r>
      <w:r>
        <w:t xml:space="preserve"> </w:t>
      </w:r>
      <w:r>
        <w:t xml:space="preserve">| Mobile Solutions Technician</w:t>
      </w:r>
      <w:r>
        <w:br/>
      </w:r>
      <w:r>
        <w:t xml:space="preserve">Troubleshot and fixed Nextel devices for first responders and construction businesses, listened to client needs, and leveraged emerging technologies to find solutions for those needs.</w:t>
      </w:r>
    </w:p>
    <w:p>
      <w:pPr>
        <w:pStyle w:val="Heading3"/>
      </w:pPr>
      <w:bookmarkStart w:id="27" w:name="community-impact-leadership"/>
      <w:r>
        <w:t xml:space="preserve">Community Impact &amp; Leadership</w:t>
      </w:r>
      <w:bookmarkEnd w:id="27"/>
    </w:p>
    <w:p>
      <w:pPr>
        <w:pStyle w:val="FirstParagraph"/>
      </w:pPr>
      <w:r>
        <w:rPr>
          <w:b/>
        </w:rPr>
        <w:t xml:space="preserve">Seek and Serve</w:t>
      </w:r>
      <w:r>
        <w:t xml:space="preserve"> </w:t>
      </w:r>
      <w:r>
        <w:t xml:space="preserve">|</w:t>
      </w:r>
      <w:r>
        <w:t xml:space="preserve"> </w:t>
      </w:r>
      <w:r>
        <w:rPr>
          <w:i/>
        </w:rPr>
        <w:t xml:space="preserve">Technical Advisory Board Member</w:t>
      </w:r>
      <w:r>
        <w:t xml:space="preserve"> </w:t>
      </w:r>
      <w:r>
        <w:t xml:space="preserve">| 2026 to Present</w:t>
      </w:r>
    </w:p>
    <w:p>
      <w:pPr>
        <w:numPr>
          <w:ilvl w:val="0"/>
          <w:numId w:val="1011"/>
        </w:numPr>
        <w:pStyle w:val="Compact"/>
      </w:pPr>
      <w:r>
        <w:rPr>
          <w:b/>
        </w:rPr>
        <w:t xml:space="preserve">Technical Guidance:</w:t>
      </w:r>
      <w:r>
        <w:t xml:space="preserve"> </w:t>
      </w:r>
      <w:r>
        <w:t xml:space="preserve">Provide high-level architectural oversight and logistical strategy to the parent 501(c)(3) organization.</w:t>
      </w:r>
    </w:p>
    <w:p>
      <w:pPr>
        <w:pStyle w:val="FirstParagraph"/>
      </w:pPr>
      <w:r>
        <w:rPr>
          <w:b/>
        </w:rPr>
        <w:t xml:space="preserve">33meals.org (Subsidiary)</w:t>
      </w:r>
      <w:r>
        <w:t xml:space="preserve"> </w:t>
      </w:r>
      <w:r>
        <w:t xml:space="preserve">|</w:t>
      </w:r>
      <w:r>
        <w:t xml:space="preserve"> </w:t>
      </w:r>
      <w:r>
        <w:rPr>
          <w:i/>
        </w:rPr>
        <w:t xml:space="preserve">Infrastructure Consultant / Volunteer</w:t>
      </w:r>
      <w:r>
        <w:t xml:space="preserve"> </w:t>
      </w:r>
      <w:r>
        <w:t xml:space="preserve">| 2026 to Present</w:t>
      </w:r>
    </w:p>
    <w:p>
      <w:pPr>
        <w:numPr>
          <w:ilvl w:val="0"/>
          <w:numId w:val="1012"/>
        </w:numPr>
      </w:pPr>
      <w:r>
        <w:rPr>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12"/>
        </w:numPr>
      </w:pPr>
      <w:r>
        <w:rPr>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12"/>
        </w:numPr>
      </w:pPr>
      <w:r>
        <w:rPr>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p>
      <w:pPr>
        <w:pStyle w:val="Heading3"/>
      </w:pPr>
      <w:bookmarkStart w:id="28" w:name="education"/>
      <w:r>
        <w:t xml:space="preserve">Education</w:t>
      </w:r>
      <w:bookmarkEnd w:id="28"/>
    </w:p>
    <w:p>
      <w:pPr>
        <w:pStyle w:val="FirstParagraph"/>
      </w:pPr>
      <w:r>
        <w:rPr>
          <w:b/>
        </w:rPr>
        <w:t xml:space="preserve">Associate of Arts (AA), Graphic Design</w:t>
      </w:r>
      <w:r>
        <w:t xml:space="preserve"> </w:t>
      </w:r>
      <w:r>
        <w:t xml:space="preserve">| Johnson County Community College</w:t>
      </w:r>
    </w:p>
    <w:p>
      <w:pPr>
        <w:pStyle w:val="Heading3"/>
      </w:pPr>
      <w:bookmarkStart w:id="29" w:name="technical-environment-matrix"/>
      <w:r>
        <w:t xml:space="preserve">Technical Environment Matrix</w:t>
      </w:r>
      <w:bookmarkEnd w:id="29"/>
    </w:p>
    <w:p>
      <w:pPr>
        <w:numPr>
          <w:ilvl w:val="0"/>
          <w:numId w:val="1013"/>
        </w:numPr>
      </w:pPr>
      <w:r>
        <w:rPr>
          <w:b/>
        </w:rPr>
        <w:t xml:space="preserve">Architectural Disciplines:</w:t>
      </w:r>
      <w:r>
        <w:t xml:space="preserve"> </w:t>
      </w:r>
      <w:r>
        <w:t xml:space="preserve">Systems Architecture, Distributed Systems, Microservices, API Gateway Design, Platform Abstractions, SRE, DevSecOps</w:t>
      </w:r>
    </w:p>
    <w:p>
      <w:pPr>
        <w:numPr>
          <w:ilvl w:val="0"/>
          <w:numId w:val="1013"/>
        </w:numPr>
      </w:pPr>
      <w:r>
        <w:rPr>
          <w:b/>
        </w:rPr>
        <w:t xml:space="preserve">Frontend Web Frameworks:</w:t>
      </w:r>
      <w:r>
        <w:t xml:space="preserve"> </w:t>
      </w:r>
      <w:r>
        <w:t xml:space="preserve">Angular (Pre-1.0 to v15), Vue.js 2, TypeScript, JavaScript (ES6+), Client-Side Architecture</w:t>
      </w:r>
    </w:p>
    <w:p>
      <w:pPr>
        <w:numPr>
          <w:ilvl w:val="0"/>
          <w:numId w:val="1013"/>
        </w:numPr>
      </w:pPr>
      <w:r>
        <w:rPr>
          <w:b/>
        </w:rPr>
        <w:t xml:space="preserve">Backend Environments &amp; Languages:</w:t>
      </w:r>
      <w:r>
        <w:t xml:space="preserve"> </w:t>
      </w:r>
      <w:r>
        <w:t xml:space="preserve">Node.js Runtime, .NET Core (2.x), C#, Native Modules, Zero-Dependency Design</w:t>
      </w:r>
    </w:p>
    <w:p>
      <w:pPr>
        <w:numPr>
          <w:ilvl w:val="0"/>
          <w:numId w:val="1013"/>
        </w:numPr>
      </w:pPr>
      <w:r>
        <w:rPr>
          <w:b/>
        </w:rPr>
        <w:t xml:space="preserve">Infrastructure &amp; Automation:</w:t>
      </w:r>
      <w:r>
        <w:t xml:space="preserve"> </w:t>
      </w:r>
      <w:r>
        <w:t xml:space="preserve">Ansible, DevOps, CI/CD, Infrastructure as Code (IaC), Automation, Site Reliability, Serverless, Red Hat Linux, VMware</w:t>
      </w:r>
    </w:p>
    <w:p>
      <w:pPr>
        <w:numPr>
          <w:ilvl w:val="0"/>
          <w:numId w:val="1013"/>
        </w:numPr>
      </w:pPr>
      <w:r>
        <w:rPr>
          <w:b/>
        </w:rPr>
        <w:t xml:space="preserve">Data &amp; Ecosystems:</w:t>
      </w:r>
      <w:r>
        <w:t xml:space="preserve"> </w:t>
      </w:r>
      <w:r>
        <w:t xml:space="preserve">Dremio (Lakehouse Federation), ELK Stack (Elasticsearch, Logstash, Kibana), Prometheus, Grafana, Rocket.Chat, PostgreSQL, SQL, MongoDB, Atlassian SDK, Jira API (US Patent #10,366,069)</w:t>
      </w:r>
    </w:p>
    <w:sectPr w:rsidR="00765F03">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B483F90"/>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0756E6F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70CD2DE"/>
    <w:multiLevelType w:val="multilevel"/>
    <w:tmpl w:val="E6C01B8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680351457">
    <w:abstractNumId w:val="2"/>
  </w:num>
  <w:num w:numId="2" w16cid:durableId="410808323">
    <w:abstractNumId w:val="1"/>
  </w:num>
  <w:num w:numId="3" w16cid:durableId="150262302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1DD0"/>
    <w:rPr>
      <w:rFonts w:ascii="Noto Sans" w:hAnsi="Noto Sans"/>
      <w:color w:val="333333"/>
      <w:sz w:val="21"/>
    </w:rPr>
  </w:style>
  <w:style w:type="paragraph" w:styleId="Heading1">
    <w:name w:val="heading 1"/>
    <w:basedOn w:val="Normal"/>
    <w:next w:val="BodyText"/>
    <w:uiPriority w:val="9"/>
    <w:qFormat/>
    <w:rsid w:val="007124C5"/>
    <w:pPr>
      <w:keepNext/>
      <w:keepLines/>
      <w:spacing w:before="480" w:after="0"/>
      <w:outlineLvl w:val="0"/>
    </w:pPr>
    <w:rPr>
      <w:rFonts w:eastAsiaTheme="majorEastAsia" w:cstheme="majorBidi"/>
      <w:b/>
      <w:bCs/>
      <w:color w:val="111111"/>
      <w:sz w:val="32"/>
      <w:szCs w:val="32"/>
    </w:rPr>
  </w:style>
  <w:style w:type="paragraph" w:styleId="Heading2">
    <w:name w:val="heading 2"/>
    <w:basedOn w:val="Normal"/>
    <w:next w:val="BodyText"/>
    <w:uiPriority w:val="9"/>
    <w:unhideWhenUsed/>
    <w:qFormat/>
    <w:rsid w:val="007124C5"/>
    <w:pPr>
      <w:keepNext/>
      <w:keepLines/>
      <w:spacing w:before="200" w:after="0"/>
      <w:outlineLvl w:val="1"/>
    </w:pPr>
    <w:rPr>
      <w:rFonts w:eastAsiaTheme="majorEastAsia" w:cstheme="majorBidi"/>
      <w:b/>
      <w:bCs/>
      <w:color w:val="111111"/>
      <w:sz w:val="28"/>
      <w:szCs w:val="28"/>
    </w:rPr>
  </w:style>
  <w:style w:type="paragraph" w:styleId="Heading3">
    <w:name w:val="heading 3"/>
    <w:basedOn w:val="Normal"/>
    <w:next w:val="BodyText"/>
    <w:uiPriority w:val="9"/>
    <w:unhideWhenUsed/>
    <w:qFormat/>
    <w:rsid w:val="007124C5"/>
    <w:pPr>
      <w:keepNext/>
      <w:keepLines/>
      <w:spacing w:before="200" w:after="0"/>
      <w:outlineLvl w:val="2"/>
    </w:pPr>
    <w:rPr>
      <w:rFonts w:eastAsiaTheme="majorEastAsia" w:cstheme="majorBidi"/>
      <w:b/>
      <w:bCs/>
      <w:color w:val="222222"/>
    </w:rPr>
  </w:style>
  <w:style w:type="paragraph" w:styleId="Heading4">
    <w:name w:val="heading 4"/>
    <w:basedOn w:val="Normal"/>
    <w:next w:val="BodyText"/>
    <w:uiPriority w:val="9"/>
    <w:unhideWhenUsed/>
    <w:qFormat/>
    <w:rsid w:val="007124C5"/>
    <w:pPr>
      <w:keepNext/>
      <w:keepLines/>
      <w:spacing w:before="200" w:after="0"/>
      <w:outlineLvl w:val="3"/>
    </w:pPr>
    <w:rPr>
      <w:rFonts w:eastAsiaTheme="majorEastAsia" w:cstheme="majorBidi"/>
      <w:bCs/>
      <w:i/>
      <w:color w:val="222222"/>
    </w:rPr>
  </w:style>
  <w:style w:type="paragraph" w:styleId="Heading5">
    <w:name w:val="heading 5"/>
    <w:basedOn w:val="Normal"/>
    <w:next w:val="BodyText"/>
    <w:uiPriority w:val="9"/>
    <w:unhideWhenUsed/>
    <w:qFormat/>
    <w:rsid w:val="007124C5"/>
    <w:pPr>
      <w:keepNext/>
      <w:keepLines/>
      <w:spacing w:before="200" w:after="0"/>
      <w:outlineLvl w:val="4"/>
    </w:pPr>
    <w:rPr>
      <w:rFonts w:eastAsiaTheme="majorEastAsia" w:cstheme="majorBidi"/>
      <w:iCs/>
      <w:color w:val="222222"/>
    </w:rPr>
  </w:style>
  <w:style w:type="paragraph" w:styleId="Heading6">
    <w:name w:val="heading 6"/>
    <w:basedOn w:val="Normal"/>
    <w:next w:val="BodyText"/>
    <w:uiPriority w:val="9"/>
    <w:unhideWhenUsed/>
    <w:qFormat/>
    <w:rsid w:val="007124C5"/>
    <w:pPr>
      <w:keepNext/>
      <w:keepLines/>
      <w:spacing w:before="200" w:after="0"/>
      <w:outlineLvl w:val="5"/>
    </w:pPr>
    <w:rPr>
      <w:rFonts w:eastAsiaTheme="majorEastAsia" w:cstheme="majorBidi"/>
      <w:color w:val="222222"/>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124C5"/>
    <w:pPr>
      <w:spacing w:before="180" w:after="180"/>
    </w:pPr>
  </w:style>
  <w:style w:type="paragraph" w:customStyle="1" w:styleId="FirstParagraph">
    <w:name w:val="First Paragraph"/>
    <w:basedOn w:val="BodyText"/>
    <w:next w:val="BodyText"/>
    <w:qFormat/>
    <w:rsid w:val="007124C5"/>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sid w:val="007124C5"/>
    <w:rPr>
      <w:rFonts w:ascii="Consolas" w:hAnsi="Consolas"/>
      <w:color w:val="333333"/>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7124C5"/>
    <w:rPr>
      <w:rFonts w:ascii="Noto Sans" w:hAnsi="Noto Sans"/>
      <w:b w:val="0"/>
      <w:i w:val="0"/>
      <w:color w:val="267CB9"/>
      <w:sz w:val="2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BodyText2">
    <w:name w:val="Body Text 2"/>
    <w:basedOn w:val="Normal"/>
    <w:link w:val="BodyText2Char"/>
    <w:rsid w:val="007124C5"/>
    <w:pPr>
      <w:spacing w:after="120" w:line="480" w:lineRule="auto"/>
    </w:pPr>
  </w:style>
  <w:style w:type="character" w:customStyle="1" w:styleId="BodyText2Char">
    <w:name w:val="Body Text 2 Char"/>
    <w:basedOn w:val="DefaultParagraphFont"/>
    <w:link w:val="BodyText2"/>
    <w:rsid w:val="007124C5"/>
  </w:style>
  <w:style w:type="paragraph" w:styleId="ListBullet">
    <w:name w:val="List Bullet"/>
    <w:basedOn w:val="Normal"/>
    <w:rsid w:val="003A2032"/>
    <w:pPr>
      <w:numPr>
        <w:numId w:val="2"/>
      </w:numPr>
      <w:contextualSpacing/>
    </w:pPr>
  </w:style>
  <w:style w:type="paragraph" w:styleId="ListBullet2">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linkedin.com" TargetMode="External" /></Relationships>
</file>

<file path=word/_rels/footnotes.xml.rels><?xml version="1.0" encoding="UTF-8"?>
<Relationships xmlns="http://schemas.openxmlformats.org/package/2006/relationships"><Relationship Type="http://schemas.openxmlformats.org/officeDocument/2006/relationships/hyperlink" Id="rId21"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2026-07-24T20:55:55Z</dcterms:created>
  <dcterms:modified xsi:type="dcterms:W3CDTF">2026-07-24T20:55:55Z</dcterms:modified>
</cp:coreProperties>
</file>

<file path=docProps/custom.xml><?xml version="1.0" encoding="utf-8"?>
<Properties xmlns="http://schemas.openxmlformats.org/officeDocument/2006/custom-properties" xmlns:vt="http://schemas.openxmlformats.org/officeDocument/2006/docPropsVTypes"/>
</file>