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77777777" w:rsidR="007925D5" w:rsidRPr="005C3801" w:rsidRDefault="00355443" w:rsidP="002B0AA8">
      <w:pPr>
        <w:spacing w:after="0" w:line="360" w:lineRule="auto"/>
        <w:rPr>
          <w:rFonts w:cstheme="minorHAnsi"/>
          <w:b/>
          <w:sz w:val="24"/>
          <w:szCs w:val="24"/>
          <w:lang w:val="en-CA"/>
        </w:rPr>
      </w:pPr>
      <w:r w:rsidRPr="005C3801">
        <w:rPr>
          <w:rFonts w:cstheme="minorHAnsi"/>
          <w:b/>
          <w:sz w:val="24"/>
          <w:szCs w:val="24"/>
          <w:lang w:val="en-CA"/>
        </w:rPr>
        <w:t>Title:</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r w:rsidR="003F2CEA" w:rsidRPr="005C3801">
        <w:rPr>
          <w:rFonts w:cstheme="minorHAnsi"/>
          <w:b/>
          <w:sz w:val="24"/>
          <w:szCs w:val="24"/>
          <w:lang w:val="en-CA"/>
        </w:rPr>
        <w:t xml:space="preserve"> – a broken paradigm</w:t>
      </w:r>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297C07C6" w:rsidR="00DE0E23" w:rsidRP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583B63BA" w14:textId="6EE0865D"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7" w:history="1">
        <w:r w:rsidR="00355443" w:rsidRPr="005C3801">
          <w:rPr>
            <w:rStyle w:val="Hyperlink"/>
            <w:rFonts w:cstheme="minorHAnsi"/>
            <w:sz w:val="24"/>
            <w:szCs w:val="24"/>
            <w:lang w:val="en-CA"/>
          </w:rPr>
          <w:t>jstinziano@unm.edu</w:t>
        </w:r>
      </w:hyperlink>
    </w:p>
    <w:p w14:paraId="796DB32E" w14:textId="77777777" w:rsidR="003F2CEA" w:rsidRPr="005C3801" w:rsidRDefault="003F2CEA" w:rsidP="002B0AA8">
      <w:pPr>
        <w:spacing w:after="0" w:line="360" w:lineRule="auto"/>
        <w:rPr>
          <w:rFonts w:cstheme="minorHAnsi"/>
          <w:sz w:val="24"/>
          <w:szCs w:val="24"/>
          <w:lang w:val="en-CA"/>
        </w:rPr>
      </w:pPr>
    </w:p>
    <w:p w14:paraId="007FD909" w14:textId="228185C2"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commentRangeStart w:id="0"/>
      <w:r w:rsidR="00E03E76" w:rsidRPr="005C3801">
        <w:rPr>
          <w:rFonts w:cstheme="minorHAnsi"/>
          <w:sz w:val="24"/>
          <w:szCs w:val="24"/>
          <w:lang w:val="en-CA"/>
        </w:rPr>
        <w:t>Opinion</w:t>
      </w:r>
      <w:commentRangeEnd w:id="0"/>
      <w:r w:rsidR="00000E9A">
        <w:rPr>
          <w:rStyle w:val="CommentReference"/>
        </w:rPr>
        <w:commentReference w:id="0"/>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r w:rsidRPr="005C3801">
        <w:rPr>
          <w:rFonts w:cstheme="minorHAnsi"/>
          <w:b/>
          <w:sz w:val="24"/>
          <w:szCs w:val="24"/>
          <w:lang w:val="en-CA"/>
        </w:rPr>
        <w:lastRenderedPageBreak/>
        <w:t>Abstract</w:t>
      </w:r>
    </w:p>
    <w:p w14:paraId="276740A2" w14:textId="77777777"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 Such errors could propagate uncertainties in carbon fluxes on a global scale</w:t>
      </w:r>
      <w:r w:rsidR="005C3801" w:rsidRPr="005C3801">
        <w:rPr>
          <w:rFonts w:cstheme="minorHAnsi"/>
          <w:sz w:val="24"/>
          <w:szCs w:val="24"/>
          <w:lang w:val="en-CA"/>
        </w:rPr>
        <w:t>, potentially biasing predictions of global carbon fluxes. We therefore argue that it is time to move beyond the modified Arrhenius paradigm since the current implementation is categorically incorrect and use more thermodynamically-grounded temperature response equations.</w:t>
      </w:r>
    </w:p>
    <w:p w14:paraId="6A79A5CE" w14:textId="129B84F2" w:rsidR="0099596D" w:rsidRPr="005C3801" w:rsidRDefault="005C3801" w:rsidP="005C3801">
      <w:pPr>
        <w:spacing w:line="360" w:lineRule="auto"/>
        <w:rPr>
          <w:rFonts w:cstheme="minorHAnsi"/>
          <w:b/>
          <w:sz w:val="24"/>
          <w:szCs w:val="24"/>
          <w:lang w:val="en-CA"/>
        </w:rPr>
      </w:pPr>
      <w:r>
        <w:rPr>
          <w:rFonts w:cstheme="minorHAnsi"/>
          <w:i/>
          <w:sz w:val="24"/>
          <w:szCs w:val="24"/>
          <w:lang w:val="en-CA"/>
        </w:rPr>
        <w:t>Keywords: Arrhenius, temperature, photosynthesis, gas exchange, modeling</w:t>
      </w:r>
      <w:r w:rsidR="0099596D" w:rsidRPr="005C3801">
        <w:rPr>
          <w:rFonts w:cstheme="minorHAnsi"/>
          <w:b/>
          <w:sz w:val="24"/>
          <w:szCs w:val="24"/>
          <w:lang w:val="en-CA"/>
        </w:rPr>
        <w:br w:type="page"/>
      </w:r>
    </w:p>
    <w:p w14:paraId="619F2A2A" w14:textId="08601E5E" w:rsidR="00C27CAD" w:rsidRPr="005C3801" w:rsidRDefault="00355443" w:rsidP="002B0AA8">
      <w:pPr>
        <w:spacing w:after="0" w:line="360" w:lineRule="auto"/>
        <w:rPr>
          <w:rFonts w:cstheme="minorHAnsi"/>
          <w:sz w:val="24"/>
          <w:szCs w:val="24"/>
          <w:lang w:val="en-CA"/>
        </w:rPr>
      </w:pPr>
      <w:r w:rsidRPr="005C3801">
        <w:rPr>
          <w:rFonts w:cstheme="minorHAnsi"/>
          <w:b/>
          <w:sz w:val="24"/>
          <w:szCs w:val="24"/>
          <w:lang w:val="en-CA"/>
        </w:rPr>
        <w:lastRenderedPageBreak/>
        <w:t>Background</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6E87F868"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use a freely available dataset and code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modified to fit the new derivation of the modified Arrhenius model, to re-interpret the updated acclimation functions reported in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 (2019).</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1" w:name="_Hlk16858237"/>
                        <m:r>
                          <w:rPr>
                            <w:rFonts w:ascii="Cambria Math" w:hAnsi="Cambria Math" w:cstheme="minorHAnsi"/>
                            <w:sz w:val="24"/>
                            <w:szCs w:val="24"/>
                            <w:lang w:val="en-CA"/>
                          </w:rPr>
                          <m:t>.15</m:t>
                        </m:r>
                        <w:bookmarkEnd w:id="1"/>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02D57"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2" w:author="Joseph Stinziano" w:date="2020-01-06T14:32:00Z"/>
          <w:rFonts w:eastAsiaTheme="minorEastAsia" w:cstheme="minorHAnsi"/>
          <w:sz w:val="24"/>
          <w:szCs w:val="24"/>
          <w:lang w:val="en-CA"/>
        </w:rPr>
      </w:pPr>
      <w:r w:rsidRPr="005C3801">
        <w:rPr>
          <w:rFonts w:eastAsiaTheme="minorEastAsia" w:cstheme="minorHAnsi"/>
          <w:sz w:val="24"/>
          <w:szCs w:val="24"/>
          <w:lang w:val="en-CA"/>
        </w:rPr>
        <w:lastRenderedPageBreak/>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3"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4" w:author="Joseph Stinziano" w:date="2020-01-06T14:32:00Z"/>
          <w:rFonts w:eastAsiaTheme="minorEastAsia" w:cstheme="minorHAnsi"/>
          <w:sz w:val="24"/>
          <w:szCs w:val="24"/>
          <w:lang w:val="en-CA"/>
        </w:rPr>
      </w:pPr>
      <w:ins w:id="5" w:author="Joseph Stinziano" w:date="2020-01-06T14:32:00Z">
        <w:r>
          <w:rPr>
            <w:rFonts w:eastAsiaTheme="minorEastAsia" w:cstheme="minorHAnsi"/>
            <w:b/>
            <w:sz w:val="24"/>
            <w:szCs w:val="24"/>
            <w:lang w:val="en-CA"/>
          </w:rPr>
          <w:t>Modeling</w:t>
        </w:r>
      </w:ins>
    </w:p>
    <w:p w14:paraId="5F8B1F51" w14:textId="3694CC66" w:rsidR="00E36D2B" w:rsidRDefault="00E36D2B" w:rsidP="002B0AA8">
      <w:pPr>
        <w:spacing w:after="0" w:line="360" w:lineRule="auto"/>
        <w:rPr>
          <w:ins w:id="6" w:author="Joseph Stinziano" w:date="2020-01-06T14:48:00Z"/>
          <w:rFonts w:eastAsiaTheme="minorEastAsia" w:cstheme="minorHAnsi"/>
          <w:sz w:val="24"/>
          <w:szCs w:val="24"/>
          <w:lang w:val="en-CA"/>
        </w:rPr>
      </w:pPr>
      <w:ins w:id="7" w:author="Joseph Stinziano" w:date="2020-01-06T14:32:00Z">
        <w:r>
          <w:rPr>
            <w:rFonts w:eastAsiaTheme="minorEastAsia" w:cstheme="minorHAnsi"/>
            <w:sz w:val="24"/>
            <w:szCs w:val="24"/>
            <w:lang w:val="en-CA"/>
          </w:rPr>
          <w:t xml:space="preserve">We modelled the impact of the equations X and Y on daily net plant carbon balance. Data for </w:t>
        </w:r>
      </w:ins>
      <w:ins w:id="8" w:author="Joseph Stinziano" w:date="2020-01-06T14:33:00Z">
        <w:r>
          <w:rPr>
            <w:rFonts w:eastAsiaTheme="minorEastAsia" w:cstheme="minorHAnsi"/>
            <w:sz w:val="24"/>
            <w:szCs w:val="24"/>
            <w:lang w:val="en-CA"/>
          </w:rPr>
          <w:t xml:space="preserve">leaf area, root and shoot masses, as well as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ins>
      <w:proofErr w:type="spellEnd"/>
      <w:ins w:id="9" w:author="Joseph Stinziano" w:date="2020-01-06T14:34:00Z">
        <w:r>
          <w:rPr>
            <w:rFonts w:eastAsiaTheme="minorEastAsia" w:cstheme="minorHAnsi"/>
            <w:sz w:val="24"/>
            <w:szCs w:val="24"/>
            <w:lang w:val="en-CA"/>
          </w:rPr>
          <w:t>,</w:t>
        </w:r>
      </w:ins>
      <w:ins w:id="10" w:author="Joseph Stinziano" w:date="2020-01-06T14:33:00Z">
        <w:r>
          <w:rPr>
            <w:rFonts w:eastAsiaTheme="minorEastAsia" w:cstheme="minorHAnsi"/>
            <w:sz w:val="24"/>
            <w:szCs w:val="24"/>
            <w:lang w:val="en-CA"/>
          </w:rPr>
          <w:t xml:space="preserv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ins>
      <w:proofErr w:type="spellEnd"/>
      <w:ins w:id="11" w:author="Joseph Stinziano" w:date="2020-01-06T14:34:00Z">
        <w:r>
          <w:rPr>
            <w:rFonts w:eastAsiaTheme="minorEastAsia" w:cstheme="minorHAnsi"/>
            <w:sz w:val="24"/>
            <w:szCs w:val="24"/>
            <w:lang w:val="en-CA"/>
          </w:rPr>
          <w:t xml:space="preserve"> and dark respiration at 25 </w:t>
        </w:r>
      </w:ins>
      <w:ins w:id="12" w:author="Joseph Stinziano" w:date="2020-01-06T14:35:00Z">
        <w:r>
          <w:rPr>
            <w:rFonts w:eastAsiaTheme="minorEastAsia" w:cstheme="minorHAnsi"/>
            <w:sz w:val="24"/>
            <w:szCs w:val="24"/>
            <w:lang w:val="en-CA"/>
          </w:rPr>
          <w:t>°C</w:t>
        </w:r>
      </w:ins>
      <w:ins w:id="13" w:author="Joseph Stinziano" w:date="2020-01-06T14:33:00Z">
        <w:r>
          <w:rPr>
            <w:rFonts w:eastAsiaTheme="minorEastAsia" w:cstheme="minorHAnsi"/>
            <w:sz w:val="24"/>
            <w:szCs w:val="24"/>
            <w:lang w:val="en-CA"/>
          </w:rPr>
          <w:t xml:space="preserve"> were taken from Stinziano &amp; Way (2017), while stomatal conductance model parameter</w:t>
        </w:r>
      </w:ins>
      <w:ins w:id="14" w:author="Joseph Stinziano" w:date="2020-01-06T14:34:00Z">
        <w:r>
          <w:rPr>
            <w:rFonts w:eastAsiaTheme="minorEastAsia" w:cstheme="minorHAnsi"/>
            <w:sz w:val="24"/>
            <w:szCs w:val="24"/>
            <w:lang w:val="en-CA"/>
          </w:rPr>
          <w:t xml:space="preserve">s were calculated with the gas exchange data reported in Stinziano &amp; Way (2017). </w:t>
        </w:r>
      </w:ins>
      <w:ins w:id="15" w:author="Joseph Stinziano" w:date="2020-01-06T14:42:00Z">
        <w:r w:rsidR="00000E9A">
          <w:rPr>
            <w:rFonts w:eastAsiaTheme="minorEastAsia" w:cstheme="minorHAnsi"/>
            <w:sz w:val="24"/>
            <w:szCs w:val="24"/>
            <w:lang w:val="en-CA"/>
          </w:rPr>
          <w:t>Mean data were taken from the control and warming treatments at week</w:t>
        </w:r>
      </w:ins>
      <w:ins w:id="16" w:author="Joseph Stinziano" w:date="2020-01-06T14:43:00Z">
        <w:r w:rsidR="00000E9A">
          <w:rPr>
            <w:rFonts w:eastAsiaTheme="minorEastAsia" w:cstheme="minorHAnsi"/>
            <w:sz w:val="24"/>
            <w:szCs w:val="24"/>
            <w:lang w:val="en-CA"/>
          </w:rPr>
          <w:t>s 1 and</w:t>
        </w:r>
      </w:ins>
      <w:ins w:id="17" w:author="Joseph Stinziano" w:date="2020-01-06T14:42:00Z">
        <w:r w:rsidR="00000E9A">
          <w:rPr>
            <w:rFonts w:eastAsiaTheme="minorEastAsia" w:cstheme="minorHAnsi"/>
            <w:sz w:val="24"/>
            <w:szCs w:val="24"/>
            <w:lang w:val="en-CA"/>
          </w:rPr>
          <w:t xml:space="preserve"> 12</w:t>
        </w:r>
      </w:ins>
      <w:ins w:id="18" w:author="Joseph Stinziano" w:date="2020-01-06T14:43:00Z">
        <w:r w:rsidR="00000E9A">
          <w:rPr>
            <w:rFonts w:eastAsiaTheme="minorEastAsia" w:cstheme="minorHAnsi"/>
            <w:sz w:val="24"/>
            <w:szCs w:val="24"/>
            <w:lang w:val="en-CA"/>
          </w:rPr>
          <w:t xml:space="preserve"> to provide contrasting photosynthetic parameters and biomass allocation.</w:t>
        </w:r>
      </w:ins>
    </w:p>
    <w:p w14:paraId="32644CE3" w14:textId="1FD6043A" w:rsidR="00C02D57" w:rsidRDefault="00C02D57" w:rsidP="002B0AA8">
      <w:pPr>
        <w:spacing w:after="0" w:line="360" w:lineRule="auto"/>
        <w:rPr>
          <w:ins w:id="19" w:author="Joseph Stinziano" w:date="2020-01-06T14:48:00Z"/>
          <w:rFonts w:eastAsiaTheme="minorEastAsia" w:cstheme="minorHAnsi"/>
          <w:sz w:val="24"/>
          <w:szCs w:val="24"/>
          <w:lang w:val="en-CA"/>
        </w:rPr>
      </w:pPr>
    </w:p>
    <w:p w14:paraId="706CF3D1" w14:textId="4CB03839" w:rsidR="00C02D57" w:rsidRDefault="00C02D57" w:rsidP="002B0AA8">
      <w:pPr>
        <w:spacing w:after="0" w:line="360" w:lineRule="auto"/>
        <w:rPr>
          <w:ins w:id="20" w:author="Joseph Stinziano" w:date="2020-01-06T14:48:00Z"/>
          <w:rFonts w:eastAsiaTheme="minorEastAsia" w:cstheme="minorHAnsi"/>
          <w:sz w:val="24"/>
          <w:szCs w:val="24"/>
          <w:lang w:val="en-CA"/>
        </w:rPr>
      </w:pPr>
      <w:ins w:id="21" w:author="Joseph Stinziano" w:date="2020-01-06T14:48:00Z">
        <w:r>
          <w:rPr>
            <w:rFonts w:eastAsiaTheme="minorEastAsia" w:cstheme="minorHAnsi"/>
            <w:sz w:val="24"/>
            <w:szCs w:val="24"/>
            <w:lang w:val="en-CA"/>
          </w:rPr>
          <w:t>We calculated respiration using THISKINDOFEQUATION with THESEPARAMETERS.</w:t>
        </w:r>
      </w:ins>
      <w:ins w:id="22" w:author="Joseph Stinziano" w:date="2020-01-06T14:49:00Z">
        <w:r>
          <w:rPr>
            <w:rFonts w:eastAsiaTheme="minorEastAsia" w:cstheme="minorHAnsi"/>
            <w:sz w:val="24"/>
            <w:szCs w:val="24"/>
            <w:lang w:val="en-CA"/>
          </w:rPr>
          <w:t xml:space="preserve"> Respiration was calculated separately for each tissue type, and separately for day and night in leaf tissue. Day respiration was assumed to be X% of dark respiration in the leaves.</w:t>
        </w:r>
      </w:ins>
    </w:p>
    <w:p w14:paraId="4F18CC61" w14:textId="76AD8344" w:rsidR="00C02D57" w:rsidRDefault="00C02D57" w:rsidP="002B0AA8">
      <w:pPr>
        <w:spacing w:after="0" w:line="360" w:lineRule="auto"/>
        <w:rPr>
          <w:ins w:id="23" w:author="Joseph Stinziano" w:date="2020-01-06T14:48:00Z"/>
          <w:rFonts w:eastAsiaTheme="minorEastAsia" w:cstheme="minorHAnsi"/>
          <w:sz w:val="24"/>
          <w:szCs w:val="24"/>
          <w:lang w:val="en-CA"/>
        </w:rPr>
      </w:pPr>
    </w:p>
    <w:p w14:paraId="7991C834" w14:textId="66B1482D" w:rsidR="00C02D57" w:rsidRDefault="00C02D57" w:rsidP="002B0AA8">
      <w:pPr>
        <w:spacing w:after="0" w:line="360" w:lineRule="auto"/>
        <w:rPr>
          <w:ins w:id="24" w:author="Joseph Stinziano" w:date="2020-01-06T14:49:00Z"/>
          <w:rFonts w:eastAsiaTheme="minorEastAsia" w:cstheme="minorHAnsi"/>
          <w:sz w:val="24"/>
          <w:szCs w:val="24"/>
          <w:lang w:val="en-CA"/>
        </w:rPr>
      </w:pPr>
      <w:ins w:id="25" w:author="Joseph Stinziano" w:date="2020-01-06T14:48:00Z">
        <w:r>
          <w:rPr>
            <w:rFonts w:eastAsiaTheme="minorEastAsia" w:cstheme="minorHAnsi"/>
            <w:sz w:val="24"/>
            <w:szCs w:val="24"/>
            <w:lang w:val="en-CA"/>
          </w:rPr>
          <w:t>Stomatal condu</w:t>
        </w:r>
      </w:ins>
      <w:ins w:id="26" w:author="Joseph Stinziano" w:date="2020-01-06T14:49:00Z">
        <w:r>
          <w:rPr>
            <w:rFonts w:eastAsiaTheme="minorEastAsia" w:cstheme="minorHAnsi"/>
            <w:sz w:val="24"/>
            <w:szCs w:val="24"/>
            <w:lang w:val="en-CA"/>
          </w:rPr>
          <w:t>ctance was calculated according to the model of Ball et al. (1987):</w:t>
        </w:r>
      </w:ins>
    </w:p>
    <w:p w14:paraId="3A2ADB63" w14:textId="3235BB03" w:rsidR="00C02D57" w:rsidRDefault="00C02D57" w:rsidP="002B0AA8">
      <w:pPr>
        <w:spacing w:after="0" w:line="360" w:lineRule="auto"/>
        <w:rPr>
          <w:ins w:id="27" w:author="Joseph Stinziano" w:date="2020-01-06T14:49:00Z"/>
          <w:rFonts w:eastAsiaTheme="minorEastAsia" w:cstheme="minorHAnsi"/>
          <w:sz w:val="24"/>
          <w:szCs w:val="24"/>
          <w:lang w:val="en-CA"/>
        </w:rPr>
      </w:pPr>
    </w:p>
    <w:p w14:paraId="52544046" w14:textId="6882641F" w:rsidR="00C02D57" w:rsidRDefault="00C02D57" w:rsidP="002B0AA8">
      <w:pPr>
        <w:spacing w:after="0" w:line="360" w:lineRule="auto"/>
        <w:rPr>
          <w:ins w:id="28" w:author="Joseph Stinziano" w:date="2020-01-06T14:51:00Z"/>
          <w:rFonts w:eastAsiaTheme="minorEastAsia" w:cstheme="minorHAnsi"/>
          <w:sz w:val="24"/>
          <w:szCs w:val="24"/>
          <w:lang w:val="en-CA"/>
        </w:rPr>
      </w:pPr>
      <w:ins w:id="29" w:author="Joseph Stinziano" w:date="2020-01-06T14:50:00Z">
        <w:r>
          <w:rPr>
            <w:rFonts w:eastAsiaTheme="minorEastAsia" w:cstheme="minorHAnsi"/>
            <w:sz w:val="24"/>
            <w:szCs w:val="24"/>
            <w:lang w:val="en-CA"/>
          </w:rPr>
          <w:t>Net CO</w:t>
        </w:r>
        <w:r>
          <w:rPr>
            <w:rFonts w:eastAsiaTheme="minorEastAsia" w:cstheme="minorHAnsi"/>
            <w:sz w:val="24"/>
            <w:szCs w:val="24"/>
            <w:vertAlign w:val="subscript"/>
            <w:lang w:val="en-CA"/>
          </w:rPr>
          <w:t>2</w:t>
        </w:r>
        <w:r>
          <w:rPr>
            <w:rFonts w:eastAsiaTheme="minorEastAsia" w:cstheme="minorHAnsi"/>
            <w:sz w:val="24"/>
            <w:szCs w:val="24"/>
            <w:lang w:val="en-CA"/>
          </w:rPr>
          <w:t xml:space="preserve"> assimilation was calculated using </w:t>
        </w:r>
        <w:r w:rsidR="003811C5">
          <w:rPr>
            <w:rFonts w:eastAsiaTheme="minorEastAsia" w:cstheme="minorHAnsi"/>
            <w:sz w:val="24"/>
            <w:szCs w:val="24"/>
            <w:lang w:val="en-CA"/>
          </w:rPr>
          <w:t>the equations from Farquhar et al. (1980), along with the respiration equations above, and using the Ball et al. (1987) model o</w:t>
        </w:r>
      </w:ins>
      <w:ins w:id="30" w:author="Joseph Stinziano" w:date="2020-01-06T14:51:00Z">
        <w:r w:rsidR="003811C5">
          <w:rPr>
            <w:rFonts w:eastAsiaTheme="minorEastAsia" w:cstheme="minorHAnsi"/>
            <w:sz w:val="24"/>
            <w:szCs w:val="24"/>
            <w:lang w:val="en-CA"/>
          </w:rPr>
          <w:t>f stomatal conductance to close the system of equations to solve for Ci.</w:t>
        </w:r>
      </w:ins>
    </w:p>
    <w:p w14:paraId="6D47EB60" w14:textId="3C5A1ECC" w:rsidR="003811C5" w:rsidRDefault="003811C5" w:rsidP="002B0AA8">
      <w:pPr>
        <w:spacing w:after="0" w:line="360" w:lineRule="auto"/>
        <w:rPr>
          <w:ins w:id="31" w:author="Joseph Stinziano" w:date="2020-01-06T14:51:00Z"/>
          <w:rFonts w:eastAsiaTheme="minorEastAsia" w:cstheme="minorHAnsi"/>
          <w:sz w:val="24"/>
          <w:szCs w:val="24"/>
          <w:lang w:val="en-CA"/>
        </w:rPr>
      </w:pPr>
    </w:p>
    <w:p w14:paraId="685C3D1E" w14:textId="4D8D9764" w:rsidR="003811C5" w:rsidRPr="00C02D57" w:rsidRDefault="003811C5" w:rsidP="002B0AA8">
      <w:pPr>
        <w:spacing w:after="0" w:line="360" w:lineRule="auto"/>
        <w:rPr>
          <w:ins w:id="32" w:author="Joseph Stinziano" w:date="2020-01-06T14:48:00Z"/>
          <w:rFonts w:eastAsiaTheme="minorEastAsia" w:cstheme="minorHAnsi"/>
          <w:sz w:val="24"/>
          <w:szCs w:val="24"/>
          <w:lang w:val="en-CA"/>
        </w:rPr>
      </w:pPr>
      <w:ins w:id="33" w:author="Joseph Stinziano" w:date="2020-01-06T14:51:00Z">
        <w:r>
          <w:rPr>
            <w:rFonts w:eastAsiaTheme="minorEastAsia" w:cstheme="minorHAnsi"/>
            <w:sz w:val="24"/>
            <w:szCs w:val="24"/>
            <w:lang w:val="en-CA"/>
          </w:rPr>
          <w:t>Modeling was performed on six total days of environmental data, with three days of d</w:t>
        </w:r>
      </w:ins>
      <w:ins w:id="34" w:author="Joseph Stinziano" w:date="2020-01-06T14:52:00Z">
        <w:r>
          <w:rPr>
            <w:rFonts w:eastAsiaTheme="minorEastAsia" w:cstheme="minorHAnsi"/>
            <w:sz w:val="24"/>
            <w:szCs w:val="24"/>
            <w:lang w:val="en-CA"/>
          </w:rPr>
          <w:t>ata obtained from the BIOTRON and ABQROOFTOPGREENHOUSES representing a spring, summer, and autumn day</w:t>
        </w:r>
        <w:r w:rsidR="00AF4DB0">
          <w:rPr>
            <w:rFonts w:eastAsiaTheme="minorEastAsia" w:cstheme="minorHAnsi"/>
            <w:sz w:val="24"/>
            <w:szCs w:val="24"/>
            <w:lang w:val="en-CA"/>
          </w:rPr>
          <w:t xml:space="preserve"> to capture different levels of environmental variability.</w:t>
        </w:r>
      </w:ins>
    </w:p>
    <w:p w14:paraId="685DED0E" w14:textId="5B982CD9" w:rsidR="00C02D57" w:rsidRDefault="00C02D57" w:rsidP="002B0AA8">
      <w:pPr>
        <w:spacing w:after="0" w:line="360" w:lineRule="auto"/>
        <w:rPr>
          <w:ins w:id="35" w:author="Joseph Stinziano" w:date="2020-01-06T14:48:00Z"/>
          <w:rFonts w:eastAsiaTheme="minorEastAsia" w:cstheme="minorHAnsi"/>
          <w:sz w:val="24"/>
          <w:szCs w:val="24"/>
          <w:lang w:val="en-CA"/>
        </w:rPr>
      </w:pPr>
    </w:p>
    <w:p w14:paraId="77FD6263" w14:textId="7FB26B02" w:rsidR="00C02D57" w:rsidRPr="00C02D57" w:rsidRDefault="00C02D57" w:rsidP="002B0AA8">
      <w:pPr>
        <w:spacing w:after="0" w:line="360" w:lineRule="auto"/>
        <w:rPr>
          <w:rFonts w:eastAsiaTheme="minorEastAsia" w:cstheme="minorHAnsi"/>
          <w:b/>
          <w:sz w:val="24"/>
          <w:szCs w:val="24"/>
          <w:lang w:val="en-CA"/>
          <w:rPrChange w:id="36" w:author="Joseph Stinziano" w:date="2020-01-06T14:48:00Z">
            <w:rPr>
              <w:rFonts w:eastAsiaTheme="minorEastAsia" w:cstheme="minorHAnsi"/>
              <w:sz w:val="24"/>
              <w:szCs w:val="24"/>
              <w:lang w:val="en-CA"/>
            </w:rPr>
          </w:rPrChange>
        </w:rPr>
      </w:pPr>
      <w:ins w:id="37" w:author="Joseph Stinziano" w:date="2020-01-06T14:48:00Z">
        <w:r>
          <w:rPr>
            <w:rFonts w:eastAsiaTheme="minorEastAsia" w:cstheme="minorHAnsi"/>
            <w:b/>
            <w:sz w:val="24"/>
            <w:szCs w:val="24"/>
            <w:lang w:val="en-CA"/>
          </w:rPr>
          <w:t>DESCRIBE MODEL HERE</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5C3801" w:rsidRDefault="004A501D"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Results</w:t>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ins w:id="38" w:author="Joseph Stinziano" w:date="2020-01-06T14:53:00Z"/>
          <w:rFonts w:eastAsiaTheme="minorEastAsia" w:cstheme="minorHAnsi"/>
          <w:sz w:val="24"/>
          <w:szCs w:val="24"/>
          <w:lang w:val="en-CA"/>
        </w:rPr>
      </w:pPr>
    </w:p>
    <w:p w14:paraId="36FF3485" w14:textId="42DB6D2E" w:rsidR="005D14D6" w:rsidRDefault="005D14D6" w:rsidP="002B0AA8">
      <w:pPr>
        <w:spacing w:after="0" w:line="360" w:lineRule="auto"/>
        <w:rPr>
          <w:ins w:id="39" w:author="Joseph Stinziano" w:date="2020-01-06T14:53:00Z"/>
          <w:rFonts w:eastAsiaTheme="minorEastAsia" w:cstheme="minorHAnsi"/>
          <w:sz w:val="24"/>
          <w:szCs w:val="24"/>
          <w:lang w:val="en-CA"/>
        </w:rPr>
      </w:pPr>
      <w:commentRangeStart w:id="40"/>
      <w:ins w:id="41" w:author="Joseph Stinziano" w:date="2020-01-06T14:53:00Z">
        <w:r>
          <w:rPr>
            <w:rFonts w:eastAsiaTheme="minorEastAsia" w:cstheme="minorHAnsi"/>
            <w:i/>
            <w:sz w:val="24"/>
            <w:szCs w:val="24"/>
            <w:lang w:val="en-CA"/>
          </w:rPr>
          <w:t>Impacts on modelled net carbon balance</w:t>
        </w:r>
        <w:commentRangeEnd w:id="40"/>
        <w:r w:rsidR="00AA2269">
          <w:rPr>
            <w:rStyle w:val="CommentReference"/>
          </w:rPr>
          <w:commentReference w:id="40"/>
        </w:r>
      </w:ins>
    </w:p>
    <w:p w14:paraId="22FFD6BA" w14:textId="77777777" w:rsidR="005D14D6" w:rsidRPr="005D14D6" w:rsidRDefault="005D14D6" w:rsidP="002B0AA8">
      <w:pPr>
        <w:spacing w:after="0" w:line="360" w:lineRule="auto"/>
        <w:rPr>
          <w:rFonts w:eastAsiaTheme="minorEastAsia" w:cstheme="minorHAnsi"/>
          <w:sz w:val="24"/>
          <w:szCs w:val="24"/>
          <w:lang w:val="en-CA"/>
        </w:rPr>
      </w:pP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rPr>
        <w:t>Discussion</w:t>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w:t>
      </w:r>
      <w:r w:rsidR="00FE7FF8" w:rsidRPr="005C3801">
        <w:rPr>
          <w:rFonts w:eastAsiaTheme="minorEastAsia" w:cstheme="minorHAnsi"/>
          <w:sz w:val="24"/>
          <w:szCs w:val="24"/>
          <w:lang w:val="en-CA"/>
        </w:rPr>
        <w:lastRenderedPageBreak/>
        <w:t>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22A8FA35" w:rsidR="006E15F2" w:rsidRPr="005C3801" w:rsidRDefault="006E15F2" w:rsidP="002B0AA8">
      <w:pPr>
        <w:spacing w:after="0" w:line="360" w:lineRule="auto"/>
        <w:rPr>
          <w:rFonts w:eastAsiaTheme="minorEastAsia" w:cstheme="minorHAnsi"/>
          <w:sz w:val="24"/>
          <w:szCs w:val="24"/>
          <w:lang w:val="en-CA"/>
        </w:rPr>
      </w:pP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w:t>
      </w:r>
      <w:r w:rsidRPr="005C3801">
        <w:rPr>
          <w:rFonts w:cstheme="minorHAnsi"/>
          <w:sz w:val="24"/>
          <w:szCs w:val="24"/>
          <w:lang w:val="en-CA"/>
        </w:rPr>
        <w:lastRenderedPageBreak/>
        <w:t>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3"/>
      <w:footerReference w:type="firs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eph Stinziano" w:date="2020-01-06T14:40:00Z" w:initials="JS">
    <w:p w14:paraId="07F73E5B" w14:textId="1F85B5E0" w:rsidR="00C02D57" w:rsidRDefault="00C02D57">
      <w:pPr>
        <w:pStyle w:val="CommentText"/>
      </w:pPr>
      <w:r>
        <w:rPr>
          <w:rStyle w:val="CommentReference"/>
        </w:rPr>
        <w:annotationRef/>
      </w:r>
      <w:r>
        <w:t>this may turn into a short regular article…</w:t>
      </w:r>
    </w:p>
  </w:comment>
  <w:comment w:id="40" w:author="Joseph Stinziano" w:date="2020-01-06T14:53:00Z" w:initials="JS">
    <w:p w14:paraId="42B06FD2" w14:textId="5F01AE13" w:rsidR="00AA2269" w:rsidRDefault="00AA2269">
      <w:pPr>
        <w:pStyle w:val="CommentText"/>
      </w:pPr>
      <w:r>
        <w:rPr>
          <w:rStyle w:val="CommentReference"/>
        </w:rPr>
        <w:annotationRef/>
      </w:r>
      <w:r>
        <w:t xml:space="preserve">can get mean and CI on differences between the two </w:t>
      </w:r>
      <w:r>
        <w:t>approaches…</w:t>
      </w:r>
      <w:bookmarkStart w:id="42" w:name="_GoBack"/>
      <w:bookmarkEnd w:id="4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F73E5B" w15:done="0"/>
  <w15:commentEx w15:paraId="42B06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F73E5B" w16cid:durableId="21BDC54F"/>
  <w16cid:commentId w16cid:paraId="42B06FD2" w16cid:durableId="21BDC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F4C47" w14:textId="77777777" w:rsidR="003972D7" w:rsidRDefault="003972D7" w:rsidP="00190931">
      <w:pPr>
        <w:spacing w:after="0" w:line="240" w:lineRule="auto"/>
      </w:pPr>
      <w:r>
        <w:separator/>
      </w:r>
    </w:p>
  </w:endnote>
  <w:endnote w:type="continuationSeparator" w:id="0">
    <w:p w14:paraId="76D9B74B" w14:textId="77777777" w:rsidR="003972D7" w:rsidRDefault="003972D7"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C02D57" w:rsidRPr="00190931" w:rsidRDefault="00C02D57">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C02D57" w:rsidRDefault="00C0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C02D57" w:rsidRPr="00190931" w:rsidRDefault="00C02D57">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C02D57" w:rsidRPr="00190931" w:rsidRDefault="00C02D57">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28782" w14:textId="77777777" w:rsidR="003972D7" w:rsidRDefault="003972D7" w:rsidP="00190931">
      <w:pPr>
        <w:spacing w:after="0" w:line="240" w:lineRule="auto"/>
      </w:pPr>
      <w:r>
        <w:separator/>
      </w:r>
    </w:p>
  </w:footnote>
  <w:footnote w:type="continuationSeparator" w:id="0">
    <w:p w14:paraId="44789617" w14:textId="77777777" w:rsidR="003972D7" w:rsidRDefault="003972D7"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64F2C"/>
    <w:rsid w:val="00074F62"/>
    <w:rsid w:val="000E2CB3"/>
    <w:rsid w:val="00100AE8"/>
    <w:rsid w:val="00124E3E"/>
    <w:rsid w:val="00134D1E"/>
    <w:rsid w:val="00154A14"/>
    <w:rsid w:val="00170E94"/>
    <w:rsid w:val="00184C36"/>
    <w:rsid w:val="00190931"/>
    <w:rsid w:val="00195FC9"/>
    <w:rsid w:val="001B3A9D"/>
    <w:rsid w:val="001C3146"/>
    <w:rsid w:val="001C4756"/>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73122"/>
    <w:rsid w:val="003811C5"/>
    <w:rsid w:val="00383A05"/>
    <w:rsid w:val="00394D1C"/>
    <w:rsid w:val="003972D7"/>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20862"/>
    <w:rsid w:val="00627358"/>
    <w:rsid w:val="0063016C"/>
    <w:rsid w:val="00632F39"/>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76157"/>
    <w:rsid w:val="008E2694"/>
    <w:rsid w:val="008E363A"/>
    <w:rsid w:val="00930D74"/>
    <w:rsid w:val="009333E1"/>
    <w:rsid w:val="00933B5D"/>
    <w:rsid w:val="0093486B"/>
    <w:rsid w:val="00937030"/>
    <w:rsid w:val="009465F7"/>
    <w:rsid w:val="0098727B"/>
    <w:rsid w:val="0099596D"/>
    <w:rsid w:val="009A532B"/>
    <w:rsid w:val="009B201D"/>
    <w:rsid w:val="009C7884"/>
    <w:rsid w:val="009D5E81"/>
    <w:rsid w:val="00A82413"/>
    <w:rsid w:val="00AA2269"/>
    <w:rsid w:val="00AA725A"/>
    <w:rsid w:val="00AD00FE"/>
    <w:rsid w:val="00AE19A7"/>
    <w:rsid w:val="00AF4DB0"/>
    <w:rsid w:val="00AF5434"/>
    <w:rsid w:val="00B06E6A"/>
    <w:rsid w:val="00B074E7"/>
    <w:rsid w:val="00B14AB1"/>
    <w:rsid w:val="00B34BB5"/>
    <w:rsid w:val="00B414CD"/>
    <w:rsid w:val="00B41825"/>
    <w:rsid w:val="00B80B2A"/>
    <w:rsid w:val="00BC42C4"/>
    <w:rsid w:val="00BD0E0E"/>
    <w:rsid w:val="00BF0B3C"/>
    <w:rsid w:val="00C02D57"/>
    <w:rsid w:val="00C13A0E"/>
    <w:rsid w:val="00C27CAD"/>
    <w:rsid w:val="00C346C9"/>
    <w:rsid w:val="00C36F20"/>
    <w:rsid w:val="00C43FB6"/>
    <w:rsid w:val="00C77D63"/>
    <w:rsid w:val="00C91FD4"/>
    <w:rsid w:val="00CB4687"/>
    <w:rsid w:val="00D3645B"/>
    <w:rsid w:val="00D739D6"/>
    <w:rsid w:val="00D91955"/>
    <w:rsid w:val="00DA4B8D"/>
    <w:rsid w:val="00DA6E1E"/>
    <w:rsid w:val="00DC02BE"/>
    <w:rsid w:val="00DE0E23"/>
    <w:rsid w:val="00DE2A02"/>
    <w:rsid w:val="00DE428A"/>
    <w:rsid w:val="00E03E76"/>
    <w:rsid w:val="00E1657A"/>
    <w:rsid w:val="00E36D2B"/>
    <w:rsid w:val="00E45E7B"/>
    <w:rsid w:val="00E875FB"/>
    <w:rsid w:val="00E955F1"/>
    <w:rsid w:val="00ED69C5"/>
    <w:rsid w:val="00EF3213"/>
    <w:rsid w:val="00F10679"/>
    <w:rsid w:val="00F14592"/>
    <w:rsid w:val="00F22E09"/>
    <w:rsid w:val="00F83B35"/>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stinziano@unm.edu"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7</cp:revision>
  <dcterms:created xsi:type="dcterms:W3CDTF">2020-01-06T21:35:00Z</dcterms:created>
  <dcterms:modified xsi:type="dcterms:W3CDTF">2020-01-06T21:53:00Z</dcterms:modified>
</cp:coreProperties>
</file>