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37C9C7D2" w:rsidR="007925D5" w:rsidRDefault="00355443" w:rsidP="002B0AA8">
      <w:pPr>
        <w:spacing w:after="0" w:line="360" w:lineRule="auto"/>
        <w:rPr>
          <w:rFonts w:cstheme="minorHAnsi"/>
          <w:b/>
          <w:sz w:val="24"/>
          <w:szCs w:val="24"/>
          <w:lang w:val="en-CA"/>
        </w:rPr>
      </w:pPr>
      <w:commentRangeStart w:id="0"/>
      <w:r w:rsidRPr="005C3801">
        <w:rPr>
          <w:rFonts w:cstheme="minorHAnsi"/>
          <w:b/>
          <w:sz w:val="24"/>
          <w:szCs w:val="24"/>
          <w:lang w:val="en-CA"/>
        </w:rPr>
        <w:t>Title</w:t>
      </w:r>
      <w:commentRangeEnd w:id="0"/>
      <w:r w:rsidR="00693015">
        <w:rPr>
          <w:rStyle w:val="CommentReference"/>
        </w:rPr>
        <w:commentReference w:id="0"/>
      </w:r>
      <w:r w:rsidRPr="005C3801">
        <w:rPr>
          <w:rFonts w:cstheme="minorHAnsi"/>
          <w:b/>
          <w:sz w:val="24"/>
          <w:szCs w:val="24"/>
          <w:lang w:val="en-CA"/>
        </w:rPr>
        <w:t>:</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p>
    <w:p w14:paraId="659200F4" w14:textId="77946006" w:rsidR="00693015" w:rsidRPr="005C3801" w:rsidRDefault="00693015" w:rsidP="002B0AA8">
      <w:pPr>
        <w:spacing w:after="0" w:line="360" w:lineRule="auto"/>
        <w:rPr>
          <w:rFonts w:cstheme="minorHAnsi"/>
          <w:b/>
          <w:sz w:val="24"/>
          <w:szCs w:val="24"/>
          <w:lang w:val="en-CA"/>
        </w:rPr>
      </w:pPr>
      <w:r>
        <w:rPr>
          <w:rFonts w:cstheme="minorHAnsi"/>
          <w:b/>
          <w:sz w:val="24"/>
          <w:szCs w:val="24"/>
          <w:lang w:val="en-CA"/>
        </w:rPr>
        <w:t xml:space="preserve">Running Title: </w:t>
      </w:r>
      <w:r w:rsidR="0004126A">
        <w:rPr>
          <w:rFonts w:cstheme="minorHAnsi"/>
          <w:b/>
          <w:sz w:val="24"/>
          <w:szCs w:val="24"/>
          <w:lang w:val="en-CA"/>
        </w:rPr>
        <w:t>Derivation error in modified Arrhenius model</w:t>
      </w:r>
    </w:p>
    <w:p w14:paraId="037A9DB8" w14:textId="20C226DB" w:rsidR="00355443" w:rsidRPr="00DE0E23" w:rsidRDefault="00355443" w:rsidP="002B0AA8">
      <w:pPr>
        <w:spacing w:after="0" w:line="360" w:lineRule="auto"/>
        <w:rPr>
          <w:rFonts w:cstheme="minorHAnsi"/>
          <w:sz w:val="24"/>
          <w:szCs w:val="24"/>
          <w:lang w:val="en-CA"/>
        </w:rPr>
      </w:pPr>
      <w:r w:rsidRPr="005C3801">
        <w:rPr>
          <w:rFonts w:cstheme="minorHAnsi"/>
          <w:sz w:val="24"/>
          <w:szCs w:val="24"/>
          <w:lang w:val="en-CA"/>
        </w:rPr>
        <w:t>Author: Joseph R. Stinziano</w:t>
      </w:r>
      <w:proofErr w:type="gramStart"/>
      <w:r w:rsidR="00632F39" w:rsidRPr="005C3801">
        <w:rPr>
          <w:rFonts w:cstheme="minorHAnsi"/>
          <w:sz w:val="24"/>
          <w:szCs w:val="24"/>
          <w:vertAlign w:val="superscript"/>
          <w:lang w:val="en-CA"/>
        </w:rPr>
        <w:t>1,*</w:t>
      </w:r>
      <w:proofErr w:type="gramEnd"/>
      <w:r w:rsidR="00632F39" w:rsidRPr="005C3801">
        <w:rPr>
          <w:rFonts w:cstheme="minorHAnsi"/>
          <w:sz w:val="24"/>
          <w:szCs w:val="24"/>
          <w:lang w:val="en-CA"/>
        </w:rPr>
        <w:t xml:space="preserve">, </w:t>
      </w:r>
      <w:r w:rsidR="00170E94" w:rsidRPr="005C3801">
        <w:rPr>
          <w:rFonts w:cstheme="minorHAnsi"/>
          <w:sz w:val="24"/>
          <w:szCs w:val="24"/>
          <w:lang w:val="en-CA"/>
        </w:rPr>
        <w:t>Sandra M. Kerbler</w:t>
      </w:r>
      <w:r w:rsidR="00170E94" w:rsidRPr="005C3801">
        <w:rPr>
          <w:rFonts w:cstheme="minorHAnsi"/>
          <w:sz w:val="24"/>
          <w:szCs w:val="24"/>
          <w:vertAlign w:val="superscript"/>
          <w:lang w:val="en-CA"/>
        </w:rPr>
        <w:t>2</w:t>
      </w:r>
      <w:r w:rsidR="00BF0B3C">
        <w:rPr>
          <w:rFonts w:cstheme="minorHAnsi"/>
          <w:sz w:val="24"/>
          <w:szCs w:val="24"/>
          <w:lang w:val="en-CA"/>
        </w:rPr>
        <w:t>, Bridget</w:t>
      </w:r>
      <w:r w:rsidR="00DE0E23">
        <w:rPr>
          <w:rFonts w:cstheme="minorHAnsi"/>
          <w:sz w:val="24"/>
          <w:szCs w:val="24"/>
          <w:lang w:val="en-CA"/>
        </w:rPr>
        <w:t xml:space="preserve"> Murphy</w:t>
      </w:r>
      <w:r w:rsidR="00DE0E23">
        <w:rPr>
          <w:rFonts w:cstheme="minorHAnsi"/>
          <w:sz w:val="24"/>
          <w:szCs w:val="24"/>
          <w:vertAlign w:val="superscript"/>
          <w:lang w:val="en-CA"/>
        </w:rPr>
        <w:t>3</w:t>
      </w:r>
    </w:p>
    <w:p w14:paraId="1201558B" w14:textId="05A0732F" w:rsidR="00355443" w:rsidRDefault="00355443" w:rsidP="002B0AA8">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Pr="005C3801">
        <w:rPr>
          <w:rFonts w:cstheme="minorHAnsi"/>
          <w:sz w:val="24"/>
          <w:szCs w:val="24"/>
          <w:lang w:val="en-CA"/>
        </w:rPr>
        <w:t>Department of Biology, University of New Mexico, Albuquerque, NM, USA</w:t>
      </w:r>
      <w:r w:rsidR="00170E94" w:rsidRPr="005C3801">
        <w:rPr>
          <w:rFonts w:cstheme="minorHAnsi"/>
          <w:sz w:val="24"/>
          <w:szCs w:val="24"/>
          <w:lang w:val="en-CA"/>
        </w:rPr>
        <w:t xml:space="preserve">; </w:t>
      </w:r>
      <w:r w:rsidR="00AE19A7">
        <w:rPr>
          <w:rFonts w:cstheme="minorHAnsi"/>
          <w:sz w:val="24"/>
          <w:szCs w:val="24"/>
          <w:lang w:val="en-CA"/>
        </w:rPr>
        <w:br/>
      </w:r>
      <w:r w:rsidR="00170E94" w:rsidRPr="005C3801">
        <w:rPr>
          <w:rFonts w:cstheme="minorHAnsi"/>
          <w:sz w:val="24"/>
          <w:szCs w:val="24"/>
          <w:vertAlign w:val="superscript"/>
          <w:lang w:val="en-CA"/>
        </w:rPr>
        <w:t>2</w:t>
      </w:r>
      <w:r w:rsidR="00170E94" w:rsidRPr="005C3801">
        <w:rPr>
          <w:rFonts w:cstheme="minorHAnsi"/>
          <w:sz w:val="24"/>
          <w:szCs w:val="24"/>
          <w:lang w:val="en-CA"/>
        </w:rPr>
        <w:t>M</w:t>
      </w:r>
      <w:r w:rsidR="00AE19A7">
        <w:rPr>
          <w:rFonts w:cstheme="minorHAnsi"/>
          <w:sz w:val="24"/>
          <w:szCs w:val="24"/>
          <w:lang w:val="en-CA"/>
        </w:rPr>
        <w:t>ax Planck Institute for Molecular Plant Physiology, Potsdam-</w:t>
      </w:r>
      <w:proofErr w:type="spellStart"/>
      <w:r w:rsidR="00AE19A7">
        <w:rPr>
          <w:rFonts w:cstheme="minorHAnsi"/>
          <w:sz w:val="24"/>
          <w:szCs w:val="24"/>
          <w:lang w:val="en-CA"/>
        </w:rPr>
        <w:t>Golm</w:t>
      </w:r>
      <w:proofErr w:type="spellEnd"/>
      <w:r w:rsidR="00AE19A7">
        <w:rPr>
          <w:rFonts w:cstheme="minorHAnsi"/>
          <w:sz w:val="24"/>
          <w:szCs w:val="24"/>
          <w:lang w:val="en-CA"/>
        </w:rPr>
        <w:t>, Germany</w:t>
      </w:r>
    </w:p>
    <w:p w14:paraId="776F75BD" w14:textId="69F2EA5A" w:rsidR="00DE0E23" w:rsidRDefault="00DE0E23" w:rsidP="002B0AA8">
      <w:pPr>
        <w:spacing w:after="0" w:line="360" w:lineRule="auto"/>
        <w:rPr>
          <w:rFonts w:cstheme="minorHAnsi"/>
          <w:sz w:val="24"/>
          <w:szCs w:val="24"/>
          <w:lang w:val="en-CA"/>
        </w:rPr>
      </w:pPr>
      <w:r>
        <w:rPr>
          <w:rFonts w:cstheme="minorHAnsi"/>
          <w:sz w:val="24"/>
          <w:szCs w:val="24"/>
          <w:vertAlign w:val="superscript"/>
          <w:lang w:val="en-CA"/>
        </w:rPr>
        <w:t>3</w:t>
      </w:r>
      <w:r>
        <w:rPr>
          <w:rFonts w:cstheme="minorHAnsi"/>
          <w:sz w:val="24"/>
          <w:szCs w:val="24"/>
          <w:lang w:val="en-CA"/>
        </w:rPr>
        <w:t>Department of Biology, University of Western Ontario, London, ON, Canada</w:t>
      </w:r>
    </w:p>
    <w:p w14:paraId="27156AD2" w14:textId="77777777" w:rsidR="0004126A" w:rsidRPr="00DE0E23" w:rsidRDefault="0004126A" w:rsidP="002B0AA8">
      <w:pPr>
        <w:spacing w:after="0" w:line="360" w:lineRule="auto"/>
        <w:rPr>
          <w:rFonts w:cstheme="minorHAnsi"/>
          <w:sz w:val="24"/>
          <w:szCs w:val="24"/>
          <w:lang w:val="en-CA"/>
        </w:rPr>
      </w:pPr>
    </w:p>
    <w:p w14:paraId="583B63BA" w14:textId="4C10A581"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10" w:history="1">
        <w:r w:rsidR="00355443" w:rsidRPr="005C3801">
          <w:rPr>
            <w:rStyle w:val="Hyperlink"/>
            <w:rFonts w:cstheme="minorHAnsi"/>
            <w:sz w:val="24"/>
            <w:szCs w:val="24"/>
            <w:lang w:val="en-CA"/>
          </w:rPr>
          <w:t>jstinziano@unm.edu</w:t>
        </w:r>
      </w:hyperlink>
      <w:r w:rsidR="0004126A">
        <w:rPr>
          <w:rStyle w:val="Hyperlink"/>
          <w:rFonts w:cstheme="minorHAnsi"/>
          <w:sz w:val="24"/>
          <w:szCs w:val="24"/>
          <w:lang w:val="en-CA"/>
        </w:rPr>
        <w:t>; Tel: +1 (226) 678-1670</w:t>
      </w:r>
    </w:p>
    <w:p w14:paraId="796DB32E" w14:textId="77777777" w:rsidR="003F2CEA" w:rsidRPr="005C3801" w:rsidRDefault="003F2CEA" w:rsidP="002B0AA8">
      <w:pPr>
        <w:spacing w:after="0" w:line="360" w:lineRule="auto"/>
        <w:rPr>
          <w:rFonts w:cstheme="minorHAnsi"/>
          <w:sz w:val="24"/>
          <w:szCs w:val="24"/>
          <w:lang w:val="en-CA"/>
        </w:rPr>
      </w:pPr>
    </w:p>
    <w:p w14:paraId="007FD909" w14:textId="636B9A7A"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r w:rsidR="00CC1403">
        <w:rPr>
          <w:rFonts w:cstheme="minorHAnsi"/>
          <w:sz w:val="24"/>
          <w:szCs w:val="24"/>
          <w:lang w:val="en-CA"/>
        </w:rPr>
        <w:t>Research Article</w:t>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commentRangeStart w:id="1"/>
      <w:r w:rsidRPr="005C3801">
        <w:rPr>
          <w:rFonts w:cstheme="minorHAnsi"/>
          <w:b/>
          <w:sz w:val="24"/>
          <w:szCs w:val="24"/>
          <w:lang w:val="en-CA"/>
        </w:rPr>
        <w:lastRenderedPageBreak/>
        <w:t>Abstract</w:t>
      </w:r>
      <w:commentRangeEnd w:id="1"/>
      <w:r w:rsidR="0004126A">
        <w:rPr>
          <w:rStyle w:val="CommentReference"/>
        </w:rPr>
        <w:commentReference w:id="1"/>
      </w:r>
    </w:p>
    <w:p w14:paraId="276740A2" w14:textId="0AA9BDE2"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w:t>
      </w:r>
      <w:r w:rsidR="000C5E11">
        <w:rPr>
          <w:rFonts w:cstheme="minorHAnsi"/>
          <w:sz w:val="24"/>
          <w:szCs w:val="24"/>
          <w:lang w:val="en-CA"/>
        </w:rPr>
        <w:t xml:space="preserve"> We then scaled the impact of these small errors to whole plant carbon balance and found that the impact of the rederivation of the Arrhenius on modelled carbon gain was even more minimal than the impact on temperature response parameters.</w:t>
      </w:r>
      <w:r w:rsidRPr="005C3801">
        <w:rPr>
          <w:rFonts w:cstheme="minorHAnsi"/>
          <w:sz w:val="24"/>
          <w:szCs w:val="24"/>
          <w:lang w:val="en-CA"/>
        </w:rPr>
        <w:t xml:space="preserve"> </w:t>
      </w:r>
      <w:r w:rsidR="000C5E11">
        <w:rPr>
          <w:rFonts w:cstheme="minorHAnsi"/>
          <w:sz w:val="24"/>
          <w:szCs w:val="24"/>
          <w:lang w:val="en-CA"/>
        </w:rPr>
        <w:t>This suggests that the error in the derivation of the modified Arrhenius equation has had negligible impact on predictions of carbon fluxes at larger scales</w:t>
      </w:r>
      <w:r w:rsidR="005C3801" w:rsidRPr="005C3801">
        <w:rPr>
          <w:rFonts w:cstheme="minorHAnsi"/>
          <w:sz w:val="24"/>
          <w:szCs w:val="24"/>
          <w:lang w:val="en-CA"/>
        </w:rPr>
        <w:t>. We argue that</w:t>
      </w:r>
      <w:r w:rsidR="000C5E11">
        <w:rPr>
          <w:rFonts w:cstheme="minorHAnsi"/>
          <w:sz w:val="24"/>
          <w:szCs w:val="24"/>
          <w:lang w:val="en-CA"/>
        </w:rPr>
        <w:t xml:space="preserve"> while the derivation error may have minimal impact,</w:t>
      </w:r>
      <w:r w:rsidR="005C3801" w:rsidRPr="005C3801">
        <w:rPr>
          <w:rFonts w:cstheme="minorHAnsi"/>
          <w:sz w:val="24"/>
          <w:szCs w:val="24"/>
          <w:lang w:val="en-CA"/>
        </w:rPr>
        <w:t xml:space="preserve"> it is time to move beyond the modified Arrhenius paradigm since the current implementation is categorically incorrect and use more thermodynamically-grounded temperature response equations</w:t>
      </w:r>
      <w:r w:rsidR="000C5E11">
        <w:rPr>
          <w:rFonts w:cstheme="minorHAnsi"/>
          <w:sz w:val="24"/>
          <w:szCs w:val="24"/>
          <w:lang w:val="en-CA"/>
        </w:rPr>
        <w:t xml:space="preserve"> going forward</w:t>
      </w:r>
      <w:r w:rsidR="005C3801" w:rsidRPr="005C3801">
        <w:rPr>
          <w:rFonts w:cstheme="minorHAnsi"/>
          <w:sz w:val="24"/>
          <w:szCs w:val="24"/>
          <w:lang w:val="en-CA"/>
        </w:rPr>
        <w:t>.</w:t>
      </w:r>
    </w:p>
    <w:p w14:paraId="6A79A5CE" w14:textId="4D413C71" w:rsidR="0099596D" w:rsidRPr="005C3801" w:rsidRDefault="005C3801" w:rsidP="005C3801">
      <w:pPr>
        <w:spacing w:line="360" w:lineRule="auto"/>
        <w:rPr>
          <w:rFonts w:cstheme="minorHAnsi"/>
          <w:b/>
          <w:sz w:val="24"/>
          <w:szCs w:val="24"/>
          <w:lang w:val="en-CA"/>
        </w:rPr>
      </w:pPr>
      <w:commentRangeStart w:id="2"/>
      <w:r>
        <w:rPr>
          <w:rFonts w:cstheme="minorHAnsi"/>
          <w:i/>
          <w:sz w:val="24"/>
          <w:szCs w:val="24"/>
          <w:lang w:val="en-CA"/>
        </w:rPr>
        <w:t>Keywords</w:t>
      </w:r>
      <w:commentRangeEnd w:id="2"/>
      <w:r w:rsidR="0004126A">
        <w:rPr>
          <w:rStyle w:val="CommentReference"/>
        </w:rPr>
        <w:commentReference w:id="2"/>
      </w:r>
      <w:r>
        <w:rPr>
          <w:rFonts w:cstheme="minorHAnsi"/>
          <w:i/>
          <w:sz w:val="24"/>
          <w:szCs w:val="24"/>
          <w:lang w:val="en-CA"/>
        </w:rPr>
        <w:t>: Arrhenius, temperature, photosynthesis, gas exchange, modeling</w:t>
      </w:r>
      <w:r w:rsidR="0004126A">
        <w:rPr>
          <w:rFonts w:cstheme="minorHAnsi"/>
          <w:i/>
          <w:sz w:val="24"/>
          <w:szCs w:val="24"/>
          <w:lang w:val="en-CA"/>
        </w:rPr>
        <w:t>, carbon balance</w:t>
      </w:r>
      <w:r w:rsidR="0099596D" w:rsidRPr="005C3801">
        <w:rPr>
          <w:rFonts w:cstheme="minorHAnsi"/>
          <w:b/>
          <w:sz w:val="24"/>
          <w:szCs w:val="24"/>
          <w:lang w:val="en-CA"/>
        </w:rPr>
        <w:br w:type="page"/>
      </w:r>
    </w:p>
    <w:p w14:paraId="619F2A2A" w14:textId="4B7F1A5E" w:rsidR="00C27CAD" w:rsidRPr="00615D1B" w:rsidRDefault="0004126A" w:rsidP="002B0AA8">
      <w:pPr>
        <w:spacing w:after="0" w:line="360" w:lineRule="auto"/>
        <w:rPr>
          <w:rFonts w:cstheme="minorHAnsi"/>
          <w:sz w:val="24"/>
          <w:szCs w:val="24"/>
          <w:u w:val="single"/>
          <w:lang w:val="en-CA"/>
        </w:rPr>
      </w:pPr>
      <w:r w:rsidRPr="00615D1B">
        <w:rPr>
          <w:rFonts w:cstheme="minorHAnsi"/>
          <w:b/>
          <w:sz w:val="24"/>
          <w:szCs w:val="24"/>
          <w:u w:val="single"/>
          <w:lang w:val="en-CA"/>
        </w:rPr>
        <w:lastRenderedPageBreak/>
        <w:t>Introduction</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xml:space="preserve">) in their </w:t>
      </w:r>
      <w:r w:rsidR="006E7FAB">
        <w:rPr>
          <w:rFonts w:cstheme="minorHAnsi"/>
          <w:sz w:val="24"/>
          <w:szCs w:val="24"/>
          <w:lang w:val="en-CA"/>
        </w:rPr>
        <w:lastRenderedPageBreak/>
        <w:t>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7A021027"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w:t>
      </w:r>
      <w:r w:rsidR="001E4502">
        <w:rPr>
          <w:rFonts w:cstheme="minorHAnsi"/>
          <w:sz w:val="24"/>
          <w:szCs w:val="24"/>
          <w:lang w:val="en-CA"/>
        </w:rPr>
        <w:t>refit</w:t>
      </w:r>
      <w:r w:rsidR="001E4502" w:rsidRPr="005C3801">
        <w:rPr>
          <w:rFonts w:cstheme="minorHAnsi"/>
          <w:sz w:val="24"/>
          <w:szCs w:val="24"/>
          <w:lang w:val="en-CA"/>
        </w:rPr>
        <w:t xml:space="preserve"> </w:t>
      </w:r>
      <w:r w:rsidR="00C43FB6" w:rsidRPr="005C3801">
        <w:rPr>
          <w:rFonts w:cstheme="minorHAnsi"/>
          <w:sz w:val="24"/>
          <w:szCs w:val="24"/>
          <w:lang w:val="en-CA"/>
        </w:rPr>
        <w:t>a freely available dataset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w:t>
      </w:r>
      <w:r w:rsidR="001E4502">
        <w:rPr>
          <w:rFonts w:cstheme="minorHAnsi"/>
          <w:sz w:val="24"/>
          <w:szCs w:val="24"/>
          <w:lang w:val="en-CA"/>
        </w:rPr>
        <w:t>with both versions of the modified Arrhenius model, and fed the temperature response fits through a carbon balance model to estimate the impact of the derivation error on modelled plant carbon balance. We predicted that the derivation error would cause substantial variation in fitted temperature response parameters, and that these differences would propagate through to modelled daily carbon balance.</w:t>
      </w:r>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3" w:name="_Hlk16858237"/>
                        <m:r>
                          <w:rPr>
                            <w:rFonts w:ascii="Cambria Math" w:hAnsi="Cambria Math" w:cstheme="minorHAnsi"/>
                            <w:sz w:val="24"/>
                            <w:szCs w:val="24"/>
                            <w:lang w:val="en-CA"/>
                          </w:rPr>
                          <m:t>.15</m:t>
                        </m:r>
                        <w:bookmarkEnd w:id="3"/>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w:t>
      </w:r>
      <w:r w:rsidR="00444F06" w:rsidRPr="005C3801">
        <w:rPr>
          <w:rFonts w:eastAsiaTheme="minorEastAsia" w:cstheme="minorHAnsi"/>
          <w:sz w:val="24"/>
          <w:szCs w:val="24"/>
          <w:lang w:val="en-CA"/>
        </w:rPr>
        <w:lastRenderedPageBreak/>
        <w:t>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rFonts w:eastAsiaTheme="minorEastAsia" w:cstheme="minorHAnsi"/>
          <w:sz w:val="24"/>
          <w:szCs w:val="24"/>
          <w:lang w:val="en-CA"/>
        </w:rPr>
      </w:pPr>
    </w:p>
    <w:p w14:paraId="002B1B61" w14:textId="24760ADA" w:rsidR="00E36D2B" w:rsidRDefault="00E36D2B" w:rsidP="002B0AA8">
      <w:pPr>
        <w:spacing w:after="0" w:line="360" w:lineRule="auto"/>
        <w:rPr>
          <w:rFonts w:eastAsiaTheme="minorEastAsia" w:cstheme="minorHAnsi"/>
          <w:sz w:val="24"/>
          <w:szCs w:val="24"/>
          <w:lang w:val="en-CA"/>
        </w:rPr>
      </w:pPr>
      <w:commentRangeStart w:id="4"/>
      <w:r>
        <w:rPr>
          <w:rFonts w:eastAsiaTheme="minorEastAsia" w:cstheme="minorHAnsi"/>
          <w:b/>
          <w:sz w:val="24"/>
          <w:szCs w:val="24"/>
          <w:lang w:val="en-CA"/>
        </w:rPr>
        <w:t>Modeling</w:t>
      </w:r>
      <w:commentRangeEnd w:id="4"/>
      <w:r w:rsidR="00E22D4C">
        <w:rPr>
          <w:rStyle w:val="CommentReference"/>
        </w:rPr>
        <w:commentReference w:id="4"/>
      </w:r>
    </w:p>
    <w:p w14:paraId="5F8B1F51" w14:textId="36155363" w:rsidR="00E36D2B" w:rsidRDefault="00E36D2B"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We modelled the impact of the equations </w:t>
      </w:r>
      <w:r w:rsidR="008545E3">
        <w:rPr>
          <w:rFonts w:eastAsiaTheme="minorEastAsia" w:cstheme="minorHAnsi"/>
          <w:sz w:val="24"/>
          <w:szCs w:val="24"/>
          <w:lang w:val="en-CA"/>
        </w:rPr>
        <w:t>3</w:t>
      </w:r>
      <w:r>
        <w:rPr>
          <w:rFonts w:eastAsiaTheme="minorEastAsia" w:cstheme="minorHAnsi"/>
          <w:sz w:val="24"/>
          <w:szCs w:val="24"/>
          <w:lang w:val="en-CA"/>
        </w:rPr>
        <w:t xml:space="preserve"> and </w:t>
      </w:r>
      <w:r w:rsidR="008545E3">
        <w:rPr>
          <w:rFonts w:eastAsiaTheme="minorEastAsia" w:cstheme="minorHAnsi"/>
          <w:sz w:val="24"/>
          <w:szCs w:val="24"/>
          <w:lang w:val="en-CA"/>
        </w:rPr>
        <w:t>10</w:t>
      </w:r>
      <w:r>
        <w:rPr>
          <w:rFonts w:eastAsiaTheme="minorEastAsia" w:cstheme="minorHAnsi"/>
          <w:sz w:val="24"/>
          <w:szCs w:val="24"/>
          <w:lang w:val="en-CA"/>
        </w:rPr>
        <w:t xml:space="preserve"> on daily net plant carbon balance</w:t>
      </w:r>
      <w:r w:rsidR="00D258E1">
        <w:rPr>
          <w:rFonts w:eastAsiaTheme="minorEastAsia" w:cstheme="minorHAnsi"/>
          <w:sz w:val="24"/>
          <w:szCs w:val="24"/>
          <w:lang w:val="en-CA"/>
        </w:rPr>
        <w:t xml:space="preserve"> under conditions of </w:t>
      </w:r>
      <w:proofErr w:type="spellStart"/>
      <w:r w:rsidR="00D258E1">
        <w:rPr>
          <w:rFonts w:eastAsiaTheme="minorEastAsia" w:cstheme="minorHAnsi"/>
          <w:sz w:val="24"/>
          <w:szCs w:val="24"/>
          <w:lang w:val="en-CA"/>
        </w:rPr>
        <w:t>H</w:t>
      </w:r>
      <w:r w:rsidR="00D258E1">
        <w:rPr>
          <w:rFonts w:eastAsiaTheme="minorEastAsia" w:cstheme="minorHAnsi"/>
          <w:sz w:val="24"/>
          <w:szCs w:val="24"/>
          <w:vertAlign w:val="subscript"/>
          <w:lang w:val="en-CA"/>
        </w:rPr>
        <w:t>d</w:t>
      </w:r>
      <w:proofErr w:type="spellEnd"/>
      <w:r w:rsidR="00D258E1">
        <w:rPr>
          <w:rFonts w:eastAsiaTheme="minorEastAsia" w:cstheme="minorHAnsi"/>
          <w:sz w:val="24"/>
          <w:szCs w:val="24"/>
          <w:lang w:val="en-CA"/>
        </w:rPr>
        <w:t xml:space="preserve"> = 200,000 J mol</w:t>
      </w:r>
      <w:r w:rsidR="00D258E1">
        <w:rPr>
          <w:rFonts w:eastAsiaTheme="minorEastAsia" w:cstheme="minorHAnsi"/>
          <w:sz w:val="24"/>
          <w:szCs w:val="24"/>
          <w:vertAlign w:val="superscript"/>
          <w:lang w:val="en-CA"/>
        </w:rPr>
        <w:t>-1</w:t>
      </w:r>
      <w:r w:rsidR="00D258E1">
        <w:rPr>
          <w:rFonts w:eastAsiaTheme="minorEastAsia" w:cstheme="minorHAnsi"/>
          <w:sz w:val="24"/>
          <w:szCs w:val="24"/>
          <w:lang w:val="en-CA"/>
        </w:rPr>
        <w:t xml:space="preserve"> and fitted H</w:t>
      </w:r>
      <w:r w:rsidR="00D258E1">
        <w:rPr>
          <w:rFonts w:eastAsiaTheme="minorEastAsia" w:cstheme="minorHAnsi"/>
          <w:sz w:val="24"/>
          <w:szCs w:val="24"/>
          <w:vertAlign w:val="subscript"/>
          <w:lang w:val="en-CA"/>
        </w:rPr>
        <w:t>d</w:t>
      </w:r>
      <w:r>
        <w:rPr>
          <w:rFonts w:eastAsiaTheme="minorEastAsia" w:cstheme="minorHAnsi"/>
          <w:sz w:val="24"/>
          <w:szCs w:val="24"/>
          <w:lang w:val="en-CA"/>
        </w:rPr>
        <w:t xml:space="preserve">. Data for leaf area, root and shoot masses, as well as </w:t>
      </w:r>
      <w:r w:rsidR="00A9251D">
        <w:rPr>
          <w:rFonts w:eastAsiaTheme="minorEastAsia" w:cstheme="minorHAnsi"/>
          <w:sz w:val="24"/>
          <w:szCs w:val="24"/>
          <w:lang w:val="en-CA"/>
        </w:rPr>
        <w:t>leaf</w:t>
      </w:r>
      <w:r>
        <w:rPr>
          <w:rFonts w:eastAsiaTheme="minorEastAsia" w:cstheme="minorHAnsi"/>
          <w:sz w:val="24"/>
          <w:szCs w:val="24"/>
          <w:lang w:val="en-CA"/>
        </w:rPr>
        <w:t xml:space="preserve"> dark respiration at 25 °C were taken</w:t>
      </w:r>
      <w:r w:rsidR="00C87C44">
        <w:rPr>
          <w:rFonts w:eastAsiaTheme="minorEastAsia" w:cstheme="minorHAnsi"/>
          <w:sz w:val="24"/>
          <w:szCs w:val="24"/>
          <w:lang w:val="en-CA"/>
        </w:rPr>
        <w:t xml:space="preserve"> for white spruce (</w:t>
      </w:r>
      <w:proofErr w:type="spellStart"/>
      <w:r w:rsidR="00C87C44">
        <w:rPr>
          <w:rFonts w:eastAsiaTheme="minorEastAsia" w:cstheme="minorHAnsi"/>
          <w:i/>
          <w:sz w:val="24"/>
          <w:szCs w:val="24"/>
          <w:lang w:val="en-CA"/>
        </w:rPr>
        <w:t>Picea</w:t>
      </w:r>
      <w:proofErr w:type="spellEnd"/>
      <w:r w:rsidR="00C87C44">
        <w:rPr>
          <w:rFonts w:eastAsiaTheme="minorEastAsia" w:cstheme="minorHAnsi"/>
          <w:i/>
          <w:sz w:val="24"/>
          <w:szCs w:val="24"/>
          <w:lang w:val="en-CA"/>
        </w:rPr>
        <w:t xml:space="preserve"> glauca</w:t>
      </w:r>
      <w:r w:rsidR="00C87C44">
        <w:rPr>
          <w:rFonts w:eastAsiaTheme="minorEastAsia" w:cstheme="minorHAnsi"/>
          <w:sz w:val="24"/>
          <w:szCs w:val="24"/>
          <w:lang w:val="en-CA"/>
        </w:rPr>
        <w:t>)</w:t>
      </w:r>
      <w:r>
        <w:rPr>
          <w:rFonts w:eastAsiaTheme="minorEastAsia" w:cstheme="minorHAnsi"/>
          <w:sz w:val="24"/>
          <w:szCs w:val="24"/>
          <w:lang w:val="en-CA"/>
        </w:rPr>
        <w:t xml:space="preserve"> from Stinziano &amp; Way (2017), while stomatal conductance model parameters were calculated with the gas exchange data reported in Stinziano &amp; Way (2017). </w:t>
      </w:r>
      <w:r w:rsidR="00000E9A">
        <w:rPr>
          <w:rFonts w:eastAsiaTheme="minorEastAsia" w:cstheme="minorHAnsi"/>
          <w:sz w:val="24"/>
          <w:szCs w:val="24"/>
          <w:lang w:val="en-CA"/>
        </w:rPr>
        <w:t>Mean data were taken from the control treatment at weeks 1 and 12 to provide contrasting biomass allocation</w:t>
      </w:r>
      <w:r w:rsidR="00A94F94">
        <w:rPr>
          <w:rFonts w:eastAsiaTheme="minorEastAsia" w:cstheme="minorHAnsi"/>
          <w:sz w:val="24"/>
          <w:szCs w:val="24"/>
          <w:lang w:val="en-CA"/>
        </w:rPr>
        <w:t xml:space="preserve"> patterns</w:t>
      </w:r>
      <w:r w:rsidR="00000E9A">
        <w:rPr>
          <w:rFonts w:eastAsiaTheme="minorEastAsia" w:cstheme="minorHAnsi"/>
          <w:sz w:val="24"/>
          <w:szCs w:val="24"/>
          <w:lang w:val="en-CA"/>
        </w:rPr>
        <w:t>.</w:t>
      </w:r>
      <w:r w:rsidR="00A9251D">
        <w:rPr>
          <w:rFonts w:eastAsiaTheme="minorEastAsia" w:cstheme="minorHAnsi"/>
          <w:sz w:val="24"/>
          <w:szCs w:val="24"/>
          <w:lang w:val="en-CA"/>
        </w:rPr>
        <w:t xml:space="preserve"> Root respiration</w:t>
      </w:r>
      <w:r w:rsidR="00C87C44">
        <w:rPr>
          <w:rFonts w:eastAsiaTheme="minorEastAsia" w:cstheme="minorHAnsi"/>
          <w:sz w:val="24"/>
          <w:szCs w:val="24"/>
          <w:lang w:val="en-CA"/>
        </w:rPr>
        <w:t xml:space="preserve"> for white spruce</w:t>
      </w:r>
      <w:r w:rsidR="00A9251D">
        <w:rPr>
          <w:rFonts w:eastAsiaTheme="minorEastAsia" w:cstheme="minorHAnsi"/>
          <w:sz w:val="24"/>
          <w:szCs w:val="24"/>
          <w:lang w:val="en-CA"/>
        </w:rPr>
        <w:t xml:space="preserve"> was taken from </w:t>
      </w:r>
      <w:proofErr w:type="spellStart"/>
      <w:r w:rsidR="00A9251D">
        <w:rPr>
          <w:rFonts w:eastAsiaTheme="minorEastAsia" w:cstheme="minorHAnsi"/>
          <w:sz w:val="24"/>
          <w:szCs w:val="24"/>
          <w:lang w:val="en-CA"/>
        </w:rPr>
        <w:t>Weger</w:t>
      </w:r>
      <w:proofErr w:type="spellEnd"/>
      <w:r w:rsidR="00A9251D">
        <w:rPr>
          <w:rFonts w:eastAsiaTheme="minorEastAsia" w:cstheme="minorHAnsi"/>
          <w:sz w:val="24"/>
          <w:szCs w:val="24"/>
          <w:lang w:val="en-CA"/>
        </w:rPr>
        <w:t xml:space="preserve"> and Guy (1991) and we assumed that stem respiration was equal to root respiration</w:t>
      </w:r>
      <w:r w:rsidR="008545E3">
        <w:rPr>
          <w:rFonts w:eastAsiaTheme="minorEastAsia" w:cstheme="minorHAnsi"/>
          <w:sz w:val="24"/>
          <w:szCs w:val="24"/>
          <w:lang w:val="en-CA"/>
        </w:rPr>
        <w:t xml:space="preserve"> (Table 1)</w:t>
      </w:r>
      <w:r w:rsidR="00A9251D">
        <w:rPr>
          <w:rFonts w:eastAsiaTheme="minorEastAsia" w:cstheme="minorHAnsi"/>
          <w:sz w:val="24"/>
          <w:szCs w:val="24"/>
          <w:lang w:val="en-CA"/>
        </w:rPr>
        <w:t>.</w:t>
      </w:r>
    </w:p>
    <w:p w14:paraId="20918322" w14:textId="77777777" w:rsidR="00AB4287" w:rsidRDefault="00AB4287" w:rsidP="002B0AA8">
      <w:pPr>
        <w:spacing w:after="0" w:line="360" w:lineRule="auto"/>
        <w:rPr>
          <w:rFonts w:eastAsiaTheme="minorEastAsia" w:cstheme="minorHAnsi"/>
          <w:sz w:val="24"/>
          <w:szCs w:val="24"/>
          <w:lang w:val="en-CA"/>
        </w:rPr>
      </w:pPr>
    </w:p>
    <w:p w14:paraId="35A005E0" w14:textId="1C605CDD" w:rsidR="00CB3198" w:rsidRPr="00CB3198"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Table 1. Parameters used in modeling daily carbon gain.</w:t>
      </w:r>
    </w:p>
    <w:tbl>
      <w:tblPr>
        <w:tblW w:w="8931" w:type="dxa"/>
        <w:tblLook w:val="04A0" w:firstRow="1" w:lastRow="0" w:firstColumn="1" w:lastColumn="0" w:noHBand="0" w:noVBand="1"/>
      </w:tblPr>
      <w:tblGrid>
        <w:gridCol w:w="1920"/>
        <w:gridCol w:w="1920"/>
        <w:gridCol w:w="2240"/>
        <w:gridCol w:w="2851"/>
      </w:tblGrid>
      <w:tr w:rsidR="00CB3198" w:rsidRPr="00CB3198" w14:paraId="2BDEFC2A" w14:textId="77777777" w:rsidTr="00CB3198">
        <w:trPr>
          <w:trHeight w:val="288"/>
        </w:trPr>
        <w:tc>
          <w:tcPr>
            <w:tcW w:w="1920" w:type="dxa"/>
            <w:tcBorders>
              <w:top w:val="single" w:sz="4" w:space="0" w:color="auto"/>
              <w:left w:val="nil"/>
              <w:bottom w:val="single" w:sz="4" w:space="0" w:color="auto"/>
              <w:right w:val="nil"/>
            </w:tcBorders>
            <w:shd w:val="clear" w:color="auto" w:fill="auto"/>
            <w:noWrap/>
            <w:vAlign w:val="bottom"/>
            <w:hideMark/>
          </w:tcPr>
          <w:p w14:paraId="11140ADA"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Parameter</w:t>
            </w:r>
          </w:p>
        </w:tc>
        <w:tc>
          <w:tcPr>
            <w:tcW w:w="1920" w:type="dxa"/>
            <w:tcBorders>
              <w:top w:val="single" w:sz="4" w:space="0" w:color="auto"/>
              <w:left w:val="nil"/>
              <w:bottom w:val="single" w:sz="4" w:space="0" w:color="auto"/>
              <w:right w:val="nil"/>
            </w:tcBorders>
            <w:shd w:val="clear" w:color="auto" w:fill="auto"/>
            <w:noWrap/>
            <w:vAlign w:val="bottom"/>
            <w:hideMark/>
          </w:tcPr>
          <w:p w14:paraId="48F11AA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Group</w:t>
            </w:r>
          </w:p>
        </w:tc>
        <w:tc>
          <w:tcPr>
            <w:tcW w:w="2240" w:type="dxa"/>
            <w:tcBorders>
              <w:top w:val="single" w:sz="4" w:space="0" w:color="auto"/>
              <w:left w:val="nil"/>
              <w:bottom w:val="single" w:sz="4" w:space="0" w:color="auto"/>
              <w:right w:val="nil"/>
            </w:tcBorders>
            <w:shd w:val="clear" w:color="auto" w:fill="auto"/>
            <w:noWrap/>
            <w:hideMark/>
          </w:tcPr>
          <w:p w14:paraId="64990B4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Value</w:t>
            </w:r>
          </w:p>
        </w:tc>
        <w:tc>
          <w:tcPr>
            <w:tcW w:w="2851" w:type="dxa"/>
            <w:tcBorders>
              <w:top w:val="single" w:sz="4" w:space="0" w:color="auto"/>
              <w:left w:val="nil"/>
              <w:bottom w:val="single" w:sz="4" w:space="0" w:color="auto"/>
              <w:right w:val="nil"/>
            </w:tcBorders>
            <w:shd w:val="clear" w:color="auto" w:fill="auto"/>
            <w:noWrap/>
            <w:vAlign w:val="bottom"/>
            <w:hideMark/>
          </w:tcPr>
          <w:p w14:paraId="5E5297FB"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Reference</w:t>
            </w:r>
          </w:p>
        </w:tc>
      </w:tr>
      <w:tr w:rsidR="00CB3198" w:rsidRPr="00CB3198" w14:paraId="07D97A85" w14:textId="77777777" w:rsidTr="00CB3198">
        <w:trPr>
          <w:trHeight w:val="288"/>
        </w:trPr>
        <w:tc>
          <w:tcPr>
            <w:tcW w:w="1920" w:type="dxa"/>
            <w:tcBorders>
              <w:top w:val="single" w:sz="4" w:space="0" w:color="auto"/>
              <w:left w:val="nil"/>
              <w:bottom w:val="nil"/>
              <w:right w:val="nil"/>
            </w:tcBorders>
            <w:shd w:val="clear" w:color="auto" w:fill="auto"/>
            <w:noWrap/>
            <w:vAlign w:val="bottom"/>
            <w:hideMark/>
          </w:tcPr>
          <w:p w14:paraId="247C94C7" w14:textId="162F3F04"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Respiration</w:t>
            </w:r>
          </w:p>
        </w:tc>
        <w:tc>
          <w:tcPr>
            <w:tcW w:w="1920" w:type="dxa"/>
            <w:tcBorders>
              <w:top w:val="single" w:sz="4" w:space="0" w:color="auto"/>
              <w:left w:val="nil"/>
              <w:bottom w:val="nil"/>
              <w:right w:val="nil"/>
            </w:tcBorders>
            <w:shd w:val="clear" w:color="auto" w:fill="auto"/>
            <w:noWrap/>
            <w:vAlign w:val="bottom"/>
            <w:hideMark/>
          </w:tcPr>
          <w:p w14:paraId="5A644EA3" w14:textId="6EF59CC0"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Leaf, dark</w:t>
            </w:r>
          </w:p>
        </w:tc>
        <w:tc>
          <w:tcPr>
            <w:tcW w:w="2240" w:type="dxa"/>
            <w:tcBorders>
              <w:top w:val="single" w:sz="4" w:space="0" w:color="auto"/>
              <w:left w:val="nil"/>
              <w:bottom w:val="nil"/>
              <w:right w:val="nil"/>
            </w:tcBorders>
            <w:shd w:val="clear" w:color="auto" w:fill="auto"/>
            <w:noWrap/>
            <w:hideMark/>
          </w:tcPr>
          <w:p w14:paraId="5529B3D5" w14:textId="0264737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2.78</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w:t>
            </w:r>
            <w:r>
              <w:rPr>
                <w:rFonts w:eastAsia="Times New Roman" w:cstheme="minorHAnsi"/>
                <w:color w:val="000000"/>
                <w:sz w:val="24"/>
                <w:szCs w:val="24"/>
                <w:vertAlign w:val="superscript"/>
              </w:rPr>
              <w:t>-2</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single" w:sz="4" w:space="0" w:color="auto"/>
              <w:left w:val="nil"/>
              <w:bottom w:val="nil"/>
              <w:right w:val="nil"/>
            </w:tcBorders>
            <w:shd w:val="clear" w:color="auto" w:fill="auto"/>
            <w:noWrap/>
            <w:hideMark/>
          </w:tcPr>
          <w:p w14:paraId="3BE4CC71"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5CD250A" w14:textId="77777777" w:rsidTr="00CB3198">
        <w:trPr>
          <w:trHeight w:val="288"/>
        </w:trPr>
        <w:tc>
          <w:tcPr>
            <w:tcW w:w="1920" w:type="dxa"/>
            <w:tcBorders>
              <w:top w:val="nil"/>
              <w:left w:val="nil"/>
              <w:bottom w:val="nil"/>
              <w:right w:val="nil"/>
            </w:tcBorders>
            <w:shd w:val="clear" w:color="auto" w:fill="auto"/>
            <w:noWrap/>
            <w:vAlign w:val="bottom"/>
            <w:hideMark/>
          </w:tcPr>
          <w:p w14:paraId="3D3DE94D" w14:textId="053BC72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0B2C1687" w14:textId="766CD31E"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Leaf, light</w:t>
            </w:r>
          </w:p>
        </w:tc>
        <w:tc>
          <w:tcPr>
            <w:tcW w:w="2240" w:type="dxa"/>
            <w:tcBorders>
              <w:top w:val="nil"/>
              <w:left w:val="nil"/>
              <w:bottom w:val="nil"/>
              <w:right w:val="nil"/>
            </w:tcBorders>
            <w:shd w:val="clear" w:color="auto" w:fill="auto"/>
            <w:noWrap/>
            <w:hideMark/>
          </w:tcPr>
          <w:p w14:paraId="3568ED92" w14:textId="0029D12F"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 xml:space="preserve">0.7 * </w:t>
            </w:r>
            <w:r>
              <w:rPr>
                <w:rFonts w:eastAsia="Times New Roman" w:cstheme="minorHAnsi"/>
                <w:color w:val="000000"/>
                <w:sz w:val="24"/>
                <w:szCs w:val="24"/>
              </w:rPr>
              <w:t>D</w:t>
            </w:r>
            <w:r w:rsidRPr="00CB3198">
              <w:rPr>
                <w:rFonts w:eastAsia="Times New Roman" w:cstheme="minorHAnsi"/>
                <w:color w:val="000000"/>
                <w:sz w:val="24"/>
                <w:szCs w:val="24"/>
              </w:rPr>
              <w:t>ark</w:t>
            </w:r>
          </w:p>
        </w:tc>
        <w:tc>
          <w:tcPr>
            <w:tcW w:w="2851" w:type="dxa"/>
            <w:tcBorders>
              <w:top w:val="nil"/>
              <w:left w:val="nil"/>
              <w:bottom w:val="nil"/>
              <w:right w:val="nil"/>
            </w:tcBorders>
            <w:shd w:val="clear" w:color="auto" w:fill="auto"/>
            <w:noWrap/>
            <w:hideMark/>
          </w:tcPr>
          <w:p w14:paraId="156EBA2E"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et al., 2019</w:t>
            </w:r>
          </w:p>
        </w:tc>
      </w:tr>
      <w:tr w:rsidR="00CB3198" w:rsidRPr="00CB3198" w14:paraId="2F44F846" w14:textId="77777777" w:rsidTr="00CB3198">
        <w:trPr>
          <w:trHeight w:val="288"/>
        </w:trPr>
        <w:tc>
          <w:tcPr>
            <w:tcW w:w="1920" w:type="dxa"/>
            <w:tcBorders>
              <w:top w:val="nil"/>
              <w:left w:val="nil"/>
              <w:bottom w:val="nil"/>
              <w:right w:val="nil"/>
            </w:tcBorders>
            <w:shd w:val="clear" w:color="auto" w:fill="auto"/>
            <w:noWrap/>
            <w:vAlign w:val="bottom"/>
            <w:hideMark/>
          </w:tcPr>
          <w:p w14:paraId="1A12B173" w14:textId="7A8378B4"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A2E40D3" w14:textId="6AFB2E70"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Root</w:t>
            </w:r>
          </w:p>
        </w:tc>
        <w:tc>
          <w:tcPr>
            <w:tcW w:w="2240" w:type="dxa"/>
            <w:tcBorders>
              <w:top w:val="nil"/>
              <w:left w:val="nil"/>
              <w:bottom w:val="nil"/>
              <w:right w:val="nil"/>
            </w:tcBorders>
            <w:shd w:val="clear" w:color="auto" w:fill="auto"/>
            <w:noWrap/>
            <w:hideMark/>
          </w:tcPr>
          <w:p w14:paraId="3B79B366" w14:textId="07AF6B73"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0.0095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6E4143D"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Weger</w:t>
            </w:r>
            <w:proofErr w:type="spellEnd"/>
            <w:r w:rsidRPr="00CB3198">
              <w:rPr>
                <w:rFonts w:eastAsia="Times New Roman" w:cstheme="minorHAnsi"/>
                <w:color w:val="000000"/>
                <w:sz w:val="24"/>
                <w:szCs w:val="24"/>
              </w:rPr>
              <w:t xml:space="preserve"> &amp; Guy, 1991</w:t>
            </w:r>
          </w:p>
        </w:tc>
      </w:tr>
      <w:tr w:rsidR="00CB3198" w:rsidRPr="00CB3198" w14:paraId="3FE933A2" w14:textId="77777777" w:rsidTr="00CB3198">
        <w:trPr>
          <w:trHeight w:val="288"/>
        </w:trPr>
        <w:tc>
          <w:tcPr>
            <w:tcW w:w="1920" w:type="dxa"/>
            <w:tcBorders>
              <w:top w:val="nil"/>
              <w:left w:val="nil"/>
              <w:bottom w:val="nil"/>
              <w:right w:val="nil"/>
            </w:tcBorders>
            <w:shd w:val="clear" w:color="auto" w:fill="auto"/>
            <w:noWrap/>
            <w:vAlign w:val="bottom"/>
            <w:hideMark/>
          </w:tcPr>
          <w:p w14:paraId="03F56A7A" w14:textId="7FD8E2DD"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79028403" w14:textId="2EE80C34"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Stem</w:t>
            </w:r>
          </w:p>
        </w:tc>
        <w:tc>
          <w:tcPr>
            <w:tcW w:w="2240" w:type="dxa"/>
            <w:tcBorders>
              <w:top w:val="nil"/>
              <w:left w:val="nil"/>
              <w:bottom w:val="nil"/>
              <w:right w:val="nil"/>
            </w:tcBorders>
            <w:shd w:val="clear" w:color="auto" w:fill="auto"/>
            <w:noWrap/>
            <w:hideMark/>
          </w:tcPr>
          <w:p w14:paraId="708F620B" w14:textId="505A1EB2"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0.0095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7B1430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Assumed</w:t>
            </w:r>
          </w:p>
        </w:tc>
      </w:tr>
      <w:tr w:rsidR="00CB3198" w:rsidRPr="00CB3198" w14:paraId="00DC9626" w14:textId="77777777" w:rsidTr="00CB3198">
        <w:trPr>
          <w:trHeight w:val="288"/>
        </w:trPr>
        <w:tc>
          <w:tcPr>
            <w:tcW w:w="1920" w:type="dxa"/>
            <w:tcBorders>
              <w:top w:val="nil"/>
              <w:left w:val="nil"/>
              <w:bottom w:val="nil"/>
              <w:right w:val="nil"/>
            </w:tcBorders>
            <w:shd w:val="clear" w:color="auto" w:fill="auto"/>
            <w:noWrap/>
            <w:vAlign w:val="bottom"/>
            <w:hideMark/>
          </w:tcPr>
          <w:p w14:paraId="706EA630" w14:textId="6BFC2573"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FEA858F" w14:textId="658CF76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Q</w:t>
            </w:r>
            <w:r w:rsidRPr="00CB3198">
              <w:rPr>
                <w:rFonts w:eastAsia="Times New Roman" w:cstheme="minorHAnsi"/>
                <w:color w:val="000000"/>
                <w:sz w:val="24"/>
                <w:szCs w:val="24"/>
                <w:vertAlign w:val="subscript"/>
              </w:rPr>
              <w:t>10</w:t>
            </w:r>
          </w:p>
        </w:tc>
        <w:tc>
          <w:tcPr>
            <w:tcW w:w="2240" w:type="dxa"/>
            <w:tcBorders>
              <w:top w:val="nil"/>
              <w:left w:val="nil"/>
              <w:bottom w:val="nil"/>
              <w:right w:val="nil"/>
            </w:tcBorders>
            <w:shd w:val="clear" w:color="auto" w:fill="auto"/>
            <w:noWrap/>
            <w:hideMark/>
          </w:tcPr>
          <w:p w14:paraId="43129E2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2.015</w:t>
            </w:r>
          </w:p>
        </w:tc>
        <w:tc>
          <w:tcPr>
            <w:tcW w:w="2851" w:type="dxa"/>
            <w:tcBorders>
              <w:top w:val="nil"/>
              <w:left w:val="nil"/>
              <w:bottom w:val="nil"/>
              <w:right w:val="nil"/>
            </w:tcBorders>
            <w:shd w:val="clear" w:color="auto" w:fill="auto"/>
            <w:noWrap/>
            <w:hideMark/>
          </w:tcPr>
          <w:p w14:paraId="3C4B45BE"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 xml:space="preserve">Atkin &amp; </w:t>
            </w:r>
            <w:proofErr w:type="spellStart"/>
            <w:r w:rsidRPr="00CB3198">
              <w:rPr>
                <w:rFonts w:eastAsia="Times New Roman" w:cstheme="minorHAnsi"/>
                <w:color w:val="000000"/>
                <w:sz w:val="24"/>
                <w:szCs w:val="24"/>
              </w:rPr>
              <w:t>Tjoelker</w:t>
            </w:r>
            <w:proofErr w:type="spellEnd"/>
            <w:r w:rsidRPr="00CB3198">
              <w:rPr>
                <w:rFonts w:eastAsia="Times New Roman" w:cstheme="minorHAnsi"/>
                <w:color w:val="000000"/>
                <w:sz w:val="24"/>
                <w:szCs w:val="24"/>
              </w:rPr>
              <w:t>, 2003</w:t>
            </w:r>
          </w:p>
        </w:tc>
      </w:tr>
      <w:tr w:rsidR="00CB3198" w:rsidRPr="00CB3198" w14:paraId="6B2B08BA" w14:textId="77777777" w:rsidTr="00CB3198">
        <w:trPr>
          <w:trHeight w:val="288"/>
        </w:trPr>
        <w:tc>
          <w:tcPr>
            <w:tcW w:w="1920" w:type="dxa"/>
            <w:tcBorders>
              <w:top w:val="nil"/>
              <w:left w:val="nil"/>
              <w:bottom w:val="nil"/>
              <w:right w:val="nil"/>
            </w:tcBorders>
            <w:shd w:val="clear" w:color="auto" w:fill="auto"/>
            <w:noWrap/>
            <w:vAlign w:val="bottom"/>
            <w:hideMark/>
          </w:tcPr>
          <w:p w14:paraId="2978E42E" w14:textId="7C0CBCD6"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Γ*</w:t>
            </w:r>
          </w:p>
        </w:tc>
        <w:tc>
          <w:tcPr>
            <w:tcW w:w="1920" w:type="dxa"/>
            <w:tcBorders>
              <w:top w:val="nil"/>
              <w:left w:val="nil"/>
              <w:bottom w:val="nil"/>
              <w:right w:val="nil"/>
            </w:tcBorders>
            <w:shd w:val="clear" w:color="auto" w:fill="auto"/>
            <w:noWrap/>
            <w:vAlign w:val="bottom"/>
            <w:hideMark/>
          </w:tcPr>
          <w:p w14:paraId="1DD69148" w14:textId="5751ACA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4B902A98" w14:textId="50A1616C"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42.75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74BEEA96"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66619804" w14:textId="77777777" w:rsidTr="00CB3198">
        <w:trPr>
          <w:trHeight w:val="288"/>
        </w:trPr>
        <w:tc>
          <w:tcPr>
            <w:tcW w:w="1920" w:type="dxa"/>
            <w:tcBorders>
              <w:top w:val="nil"/>
              <w:left w:val="nil"/>
              <w:bottom w:val="nil"/>
              <w:right w:val="nil"/>
            </w:tcBorders>
            <w:shd w:val="clear" w:color="auto" w:fill="auto"/>
            <w:noWrap/>
            <w:vAlign w:val="bottom"/>
            <w:hideMark/>
          </w:tcPr>
          <w:p w14:paraId="6CFAAA53" w14:textId="427A7580"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67651B93" w14:textId="43A0F6DA"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CDFC61F" w14:textId="6AD0233E"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37.83</w:t>
            </w:r>
            <w:r>
              <w:rPr>
                <w:rFonts w:eastAsia="Times New Roman" w:cstheme="minorHAnsi"/>
                <w:color w:val="000000"/>
                <w:sz w:val="24"/>
                <w:szCs w:val="24"/>
              </w:rPr>
              <w:t xml:space="preserve">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1FC0666F"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5DDB6DC5" w14:textId="77777777" w:rsidTr="00CB3198">
        <w:trPr>
          <w:trHeight w:val="288"/>
        </w:trPr>
        <w:tc>
          <w:tcPr>
            <w:tcW w:w="1920" w:type="dxa"/>
            <w:tcBorders>
              <w:top w:val="nil"/>
              <w:left w:val="nil"/>
              <w:bottom w:val="nil"/>
              <w:right w:val="nil"/>
            </w:tcBorders>
            <w:shd w:val="clear" w:color="auto" w:fill="auto"/>
            <w:noWrap/>
            <w:vAlign w:val="bottom"/>
            <w:hideMark/>
          </w:tcPr>
          <w:p w14:paraId="4911CB10" w14:textId="4EBDF0BB" w:rsidR="00CB3198" w:rsidRPr="00CB3198" w:rsidRDefault="00CB3198" w:rsidP="00CB3198">
            <w:pPr>
              <w:spacing w:after="0" w:line="240" w:lineRule="auto"/>
              <w:rPr>
                <w:rFonts w:eastAsia="Times New Roman" w:cstheme="minorHAnsi"/>
                <w:color w:val="000000"/>
                <w:sz w:val="24"/>
                <w:szCs w:val="24"/>
                <w:vertAlign w:val="subscript"/>
              </w:rPr>
            </w:pPr>
            <w:r>
              <w:rPr>
                <w:rFonts w:eastAsia="Times New Roman" w:cstheme="minorHAnsi"/>
                <w:color w:val="000000"/>
                <w:sz w:val="24"/>
                <w:szCs w:val="24"/>
              </w:rPr>
              <w:t>K</w:t>
            </w:r>
            <w:r>
              <w:rPr>
                <w:rFonts w:eastAsia="Times New Roman" w:cstheme="minorHAnsi"/>
                <w:color w:val="000000"/>
                <w:sz w:val="24"/>
                <w:szCs w:val="24"/>
                <w:vertAlign w:val="subscript"/>
              </w:rPr>
              <w:t>m</w:t>
            </w:r>
          </w:p>
        </w:tc>
        <w:tc>
          <w:tcPr>
            <w:tcW w:w="1920" w:type="dxa"/>
            <w:tcBorders>
              <w:top w:val="nil"/>
              <w:left w:val="nil"/>
              <w:bottom w:val="nil"/>
              <w:right w:val="nil"/>
            </w:tcBorders>
            <w:shd w:val="clear" w:color="auto" w:fill="auto"/>
            <w:noWrap/>
            <w:vAlign w:val="bottom"/>
            <w:hideMark/>
          </w:tcPr>
          <w:p w14:paraId="4AA7F715" w14:textId="5AAFEF8E"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28BECB67" w14:textId="097CEB0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718.4</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3A8E020A"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1FF5AA87" w14:textId="77777777" w:rsidTr="00CB3198">
        <w:trPr>
          <w:trHeight w:val="288"/>
        </w:trPr>
        <w:tc>
          <w:tcPr>
            <w:tcW w:w="1920" w:type="dxa"/>
            <w:tcBorders>
              <w:top w:val="nil"/>
              <w:left w:val="nil"/>
              <w:bottom w:val="nil"/>
              <w:right w:val="nil"/>
            </w:tcBorders>
            <w:shd w:val="clear" w:color="auto" w:fill="auto"/>
            <w:noWrap/>
            <w:vAlign w:val="bottom"/>
            <w:hideMark/>
          </w:tcPr>
          <w:p w14:paraId="460EF436" w14:textId="67C91EF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46BB86B2" w14:textId="418E54F5"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32B34A8" w14:textId="58A05304"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65.5</w:t>
            </w:r>
            <w:r>
              <w:rPr>
                <w:rFonts w:eastAsia="Times New Roman" w:cstheme="minorHAnsi"/>
                <w:color w:val="000000"/>
                <w:sz w:val="24"/>
                <w:szCs w:val="24"/>
              </w:rPr>
              <w:t>1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B8FCA47"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2466289E" w14:textId="77777777" w:rsidTr="00CB3198">
        <w:trPr>
          <w:trHeight w:val="288"/>
        </w:trPr>
        <w:tc>
          <w:tcPr>
            <w:tcW w:w="1920" w:type="dxa"/>
            <w:tcBorders>
              <w:top w:val="nil"/>
              <w:left w:val="nil"/>
              <w:bottom w:val="nil"/>
              <w:right w:val="nil"/>
            </w:tcBorders>
            <w:shd w:val="clear" w:color="auto" w:fill="auto"/>
            <w:noWrap/>
            <w:vAlign w:val="bottom"/>
            <w:hideMark/>
          </w:tcPr>
          <w:p w14:paraId="2E9BC1C1" w14:textId="4459151F"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α</w:t>
            </w:r>
          </w:p>
        </w:tc>
        <w:tc>
          <w:tcPr>
            <w:tcW w:w="1920" w:type="dxa"/>
            <w:tcBorders>
              <w:top w:val="nil"/>
              <w:left w:val="nil"/>
              <w:bottom w:val="nil"/>
              <w:right w:val="nil"/>
            </w:tcBorders>
            <w:shd w:val="clear" w:color="auto" w:fill="auto"/>
            <w:noWrap/>
            <w:vAlign w:val="bottom"/>
            <w:hideMark/>
          </w:tcPr>
          <w:p w14:paraId="2864D23F"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3EE2792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0.8</w:t>
            </w:r>
          </w:p>
        </w:tc>
        <w:tc>
          <w:tcPr>
            <w:tcW w:w="2851" w:type="dxa"/>
            <w:tcBorders>
              <w:top w:val="nil"/>
              <w:left w:val="nil"/>
              <w:bottom w:val="nil"/>
              <w:right w:val="nil"/>
            </w:tcBorders>
            <w:shd w:val="clear" w:color="auto" w:fill="auto"/>
            <w:noWrap/>
            <w:hideMark/>
          </w:tcPr>
          <w:p w14:paraId="114EA4D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3F35D4B1" w14:textId="77777777" w:rsidTr="00CB3198">
        <w:trPr>
          <w:trHeight w:val="288"/>
        </w:trPr>
        <w:tc>
          <w:tcPr>
            <w:tcW w:w="1920" w:type="dxa"/>
            <w:tcBorders>
              <w:top w:val="nil"/>
              <w:left w:val="nil"/>
              <w:bottom w:val="nil"/>
              <w:right w:val="nil"/>
            </w:tcBorders>
            <w:shd w:val="clear" w:color="auto" w:fill="auto"/>
            <w:noWrap/>
            <w:vAlign w:val="bottom"/>
            <w:hideMark/>
          </w:tcPr>
          <w:p w14:paraId="7E30F8C1" w14:textId="288C23B3"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ϕ</w:t>
            </w:r>
          </w:p>
        </w:tc>
        <w:tc>
          <w:tcPr>
            <w:tcW w:w="1920" w:type="dxa"/>
            <w:tcBorders>
              <w:top w:val="nil"/>
              <w:left w:val="nil"/>
              <w:bottom w:val="nil"/>
              <w:right w:val="nil"/>
            </w:tcBorders>
            <w:shd w:val="clear" w:color="auto" w:fill="auto"/>
            <w:noWrap/>
            <w:vAlign w:val="bottom"/>
            <w:hideMark/>
          </w:tcPr>
          <w:p w14:paraId="37C40FA1"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779875B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0.08</w:t>
            </w:r>
          </w:p>
        </w:tc>
        <w:tc>
          <w:tcPr>
            <w:tcW w:w="2851" w:type="dxa"/>
            <w:tcBorders>
              <w:top w:val="nil"/>
              <w:left w:val="nil"/>
              <w:bottom w:val="nil"/>
              <w:right w:val="nil"/>
            </w:tcBorders>
            <w:shd w:val="clear" w:color="auto" w:fill="auto"/>
            <w:noWrap/>
            <w:hideMark/>
          </w:tcPr>
          <w:p w14:paraId="2EE8F2B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405A65C9" w14:textId="77777777" w:rsidTr="00CB3198">
        <w:trPr>
          <w:trHeight w:val="288"/>
        </w:trPr>
        <w:tc>
          <w:tcPr>
            <w:tcW w:w="1920" w:type="dxa"/>
            <w:tcBorders>
              <w:top w:val="nil"/>
              <w:left w:val="nil"/>
              <w:bottom w:val="nil"/>
              <w:right w:val="nil"/>
            </w:tcBorders>
            <w:shd w:val="clear" w:color="auto" w:fill="auto"/>
            <w:noWrap/>
            <w:vAlign w:val="bottom"/>
            <w:hideMark/>
          </w:tcPr>
          <w:p w14:paraId="0F2D696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Leaf Area</w:t>
            </w:r>
          </w:p>
        </w:tc>
        <w:tc>
          <w:tcPr>
            <w:tcW w:w="1920" w:type="dxa"/>
            <w:tcBorders>
              <w:top w:val="nil"/>
              <w:left w:val="nil"/>
              <w:bottom w:val="nil"/>
              <w:right w:val="nil"/>
            </w:tcBorders>
            <w:shd w:val="clear" w:color="auto" w:fill="auto"/>
            <w:noWrap/>
            <w:vAlign w:val="bottom"/>
            <w:hideMark/>
          </w:tcPr>
          <w:p w14:paraId="5C30C1B2"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bottom w:val="nil"/>
              <w:right w:val="nil"/>
            </w:tcBorders>
            <w:shd w:val="clear" w:color="auto" w:fill="auto"/>
            <w:noWrap/>
            <w:hideMark/>
          </w:tcPr>
          <w:p w14:paraId="5583B57C" w14:textId="4488268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0.015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38D63E7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051ADEA8" w14:textId="77777777" w:rsidTr="00CB3198">
        <w:trPr>
          <w:trHeight w:val="288"/>
        </w:trPr>
        <w:tc>
          <w:tcPr>
            <w:tcW w:w="1920" w:type="dxa"/>
            <w:tcBorders>
              <w:top w:val="nil"/>
              <w:left w:val="nil"/>
              <w:bottom w:val="nil"/>
              <w:right w:val="nil"/>
            </w:tcBorders>
            <w:shd w:val="clear" w:color="auto" w:fill="auto"/>
            <w:noWrap/>
            <w:vAlign w:val="bottom"/>
            <w:hideMark/>
          </w:tcPr>
          <w:p w14:paraId="66FF9A92"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76D9C8F9"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nil"/>
              <w:right w:val="nil"/>
            </w:tcBorders>
            <w:shd w:val="clear" w:color="auto" w:fill="auto"/>
            <w:noWrap/>
            <w:hideMark/>
          </w:tcPr>
          <w:p w14:paraId="1BFFF4EA" w14:textId="65C36D5E"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0.025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4563839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F7D5D6D" w14:textId="77777777" w:rsidTr="00CB3198">
        <w:trPr>
          <w:trHeight w:val="288"/>
        </w:trPr>
        <w:tc>
          <w:tcPr>
            <w:tcW w:w="1920" w:type="dxa"/>
            <w:tcBorders>
              <w:top w:val="nil"/>
              <w:left w:val="nil"/>
              <w:bottom w:val="nil"/>
              <w:right w:val="nil"/>
            </w:tcBorders>
            <w:shd w:val="clear" w:color="auto" w:fill="auto"/>
            <w:noWrap/>
            <w:vAlign w:val="bottom"/>
            <w:hideMark/>
          </w:tcPr>
          <w:p w14:paraId="72DC8F6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Stem Mass</w:t>
            </w:r>
          </w:p>
        </w:tc>
        <w:tc>
          <w:tcPr>
            <w:tcW w:w="1920" w:type="dxa"/>
            <w:tcBorders>
              <w:top w:val="nil"/>
              <w:left w:val="nil"/>
              <w:bottom w:val="nil"/>
              <w:right w:val="nil"/>
            </w:tcBorders>
            <w:shd w:val="clear" w:color="auto" w:fill="auto"/>
            <w:noWrap/>
            <w:vAlign w:val="bottom"/>
            <w:hideMark/>
          </w:tcPr>
          <w:p w14:paraId="12770B8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bottom w:val="nil"/>
              <w:right w:val="nil"/>
            </w:tcBorders>
            <w:shd w:val="clear" w:color="auto" w:fill="auto"/>
            <w:noWrap/>
            <w:hideMark/>
          </w:tcPr>
          <w:p w14:paraId="7C015C01" w14:textId="41980DBB"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0.496</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5B33942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502C235F" w14:textId="77777777" w:rsidTr="00CB3198">
        <w:trPr>
          <w:trHeight w:val="288"/>
        </w:trPr>
        <w:tc>
          <w:tcPr>
            <w:tcW w:w="1920" w:type="dxa"/>
            <w:tcBorders>
              <w:top w:val="nil"/>
              <w:left w:val="nil"/>
              <w:bottom w:val="nil"/>
              <w:right w:val="nil"/>
            </w:tcBorders>
            <w:shd w:val="clear" w:color="auto" w:fill="auto"/>
            <w:noWrap/>
            <w:vAlign w:val="bottom"/>
            <w:hideMark/>
          </w:tcPr>
          <w:p w14:paraId="4775F4B1"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1338F8D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nil"/>
              <w:right w:val="nil"/>
            </w:tcBorders>
            <w:shd w:val="clear" w:color="auto" w:fill="auto"/>
            <w:noWrap/>
            <w:hideMark/>
          </w:tcPr>
          <w:p w14:paraId="0BAE9E48" w14:textId="291FE67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2.523</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44FAEBA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700AA9AC" w14:textId="77777777" w:rsidTr="00CB3198">
        <w:trPr>
          <w:trHeight w:val="288"/>
        </w:trPr>
        <w:tc>
          <w:tcPr>
            <w:tcW w:w="1920" w:type="dxa"/>
            <w:tcBorders>
              <w:top w:val="nil"/>
              <w:left w:val="nil"/>
              <w:right w:val="nil"/>
            </w:tcBorders>
            <w:shd w:val="clear" w:color="auto" w:fill="auto"/>
            <w:noWrap/>
            <w:vAlign w:val="bottom"/>
            <w:hideMark/>
          </w:tcPr>
          <w:p w14:paraId="4855C37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Root Mass</w:t>
            </w:r>
          </w:p>
        </w:tc>
        <w:tc>
          <w:tcPr>
            <w:tcW w:w="1920" w:type="dxa"/>
            <w:tcBorders>
              <w:top w:val="nil"/>
              <w:left w:val="nil"/>
              <w:right w:val="nil"/>
            </w:tcBorders>
            <w:shd w:val="clear" w:color="auto" w:fill="auto"/>
            <w:noWrap/>
            <w:vAlign w:val="bottom"/>
            <w:hideMark/>
          </w:tcPr>
          <w:p w14:paraId="1D385871"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right w:val="nil"/>
            </w:tcBorders>
            <w:shd w:val="clear" w:color="auto" w:fill="auto"/>
            <w:noWrap/>
            <w:hideMark/>
          </w:tcPr>
          <w:p w14:paraId="15A5A0F9" w14:textId="3B81983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0.498</w:t>
            </w:r>
            <w:r>
              <w:rPr>
                <w:rFonts w:eastAsia="Times New Roman" w:cstheme="minorHAnsi"/>
                <w:color w:val="000000"/>
                <w:sz w:val="24"/>
                <w:szCs w:val="24"/>
              </w:rPr>
              <w:t xml:space="preserve"> g</w:t>
            </w:r>
          </w:p>
        </w:tc>
        <w:tc>
          <w:tcPr>
            <w:tcW w:w="2851" w:type="dxa"/>
            <w:tcBorders>
              <w:top w:val="nil"/>
              <w:left w:val="nil"/>
              <w:right w:val="nil"/>
            </w:tcBorders>
            <w:shd w:val="clear" w:color="auto" w:fill="auto"/>
            <w:noWrap/>
            <w:hideMark/>
          </w:tcPr>
          <w:p w14:paraId="0E1D3399"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E3F78D9" w14:textId="77777777" w:rsidTr="00CB3198">
        <w:trPr>
          <w:trHeight w:val="288"/>
        </w:trPr>
        <w:tc>
          <w:tcPr>
            <w:tcW w:w="1920" w:type="dxa"/>
            <w:tcBorders>
              <w:top w:val="nil"/>
              <w:left w:val="nil"/>
              <w:bottom w:val="single" w:sz="4" w:space="0" w:color="auto"/>
              <w:right w:val="nil"/>
            </w:tcBorders>
            <w:shd w:val="clear" w:color="auto" w:fill="auto"/>
            <w:noWrap/>
            <w:vAlign w:val="bottom"/>
            <w:hideMark/>
          </w:tcPr>
          <w:p w14:paraId="641C21A5"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single" w:sz="4" w:space="0" w:color="auto"/>
              <w:right w:val="nil"/>
            </w:tcBorders>
            <w:shd w:val="clear" w:color="auto" w:fill="auto"/>
            <w:noWrap/>
            <w:vAlign w:val="bottom"/>
            <w:hideMark/>
          </w:tcPr>
          <w:p w14:paraId="2643A20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single" w:sz="4" w:space="0" w:color="auto"/>
              <w:right w:val="nil"/>
            </w:tcBorders>
            <w:shd w:val="clear" w:color="auto" w:fill="auto"/>
            <w:noWrap/>
            <w:hideMark/>
          </w:tcPr>
          <w:p w14:paraId="0BAB3C96" w14:textId="5614475F"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5.072</w:t>
            </w:r>
            <w:r>
              <w:rPr>
                <w:rFonts w:eastAsia="Times New Roman" w:cstheme="minorHAnsi"/>
                <w:color w:val="000000"/>
                <w:sz w:val="24"/>
                <w:szCs w:val="24"/>
              </w:rPr>
              <w:t xml:space="preserve"> g</w:t>
            </w:r>
          </w:p>
        </w:tc>
        <w:tc>
          <w:tcPr>
            <w:tcW w:w="2851" w:type="dxa"/>
            <w:tcBorders>
              <w:top w:val="nil"/>
              <w:left w:val="nil"/>
              <w:bottom w:val="single" w:sz="4" w:space="0" w:color="auto"/>
              <w:right w:val="nil"/>
            </w:tcBorders>
            <w:shd w:val="clear" w:color="auto" w:fill="auto"/>
            <w:noWrap/>
            <w:hideMark/>
          </w:tcPr>
          <w:p w14:paraId="434004C2"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bl>
    <w:p w14:paraId="3895CF61" w14:textId="03130B81" w:rsidR="00CB3198" w:rsidRPr="00AB4287"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w:t>
      </w:r>
      <w:r w:rsidR="00AB4287">
        <w:rPr>
          <w:rFonts w:eastAsiaTheme="minorEastAsia" w:cstheme="minorHAnsi"/>
          <w:b/>
          <w:sz w:val="24"/>
          <w:szCs w:val="24"/>
          <w:lang w:val="en-CA"/>
        </w:rPr>
        <w:t>thermal sensitivity coefficient; Γ*: photorespiratory CO</w:t>
      </w:r>
      <w:r w:rsidR="00AB4287">
        <w:rPr>
          <w:rFonts w:eastAsiaTheme="minorEastAsia" w:cstheme="minorHAnsi"/>
          <w:b/>
          <w:sz w:val="24"/>
          <w:szCs w:val="24"/>
          <w:vertAlign w:val="subscript"/>
          <w:lang w:val="en-CA"/>
        </w:rPr>
        <w:t>2</w:t>
      </w:r>
      <w:r w:rsidR="00AB4287">
        <w:rPr>
          <w:rFonts w:eastAsiaTheme="minorEastAsia" w:cstheme="minorHAnsi"/>
          <w:b/>
          <w:sz w:val="24"/>
          <w:szCs w:val="24"/>
          <w:lang w:val="en-CA"/>
        </w:rPr>
        <w:t xml:space="preserve"> compensation point; K</w:t>
      </w:r>
      <w:r w:rsidR="00AB4287">
        <w:rPr>
          <w:rFonts w:eastAsiaTheme="minorEastAsia" w:cstheme="minorHAnsi"/>
          <w:b/>
          <w:sz w:val="24"/>
          <w:szCs w:val="24"/>
          <w:vertAlign w:val="subscript"/>
          <w:lang w:val="en-CA"/>
        </w:rPr>
        <w:t>m</w:t>
      </w:r>
      <w:r w:rsidR="00AB4287">
        <w:rPr>
          <w:rFonts w:eastAsiaTheme="minorEastAsia" w:cstheme="minorHAnsi"/>
          <w:b/>
          <w:sz w:val="24"/>
          <w:szCs w:val="24"/>
          <w:lang w:val="en-CA"/>
        </w:rPr>
        <w:t xml:space="preserve">: Michaelis-Menten constant for rubisco; α: absorbance of photosynthetically activation radiation; ϕ: maximum quantum efficiency of photosynthetic electron transport; </w:t>
      </w:r>
      <w:proofErr w:type="spellStart"/>
      <w:r w:rsidR="00AB4287">
        <w:rPr>
          <w:rFonts w:eastAsiaTheme="minorEastAsia" w:cstheme="minorHAnsi"/>
          <w:b/>
          <w:sz w:val="24"/>
          <w:szCs w:val="24"/>
          <w:lang w:val="en-CA"/>
        </w:rPr>
        <w:t>E</w:t>
      </w:r>
      <w:r w:rsidR="00AB4287">
        <w:rPr>
          <w:rFonts w:eastAsiaTheme="minorEastAsia" w:cstheme="minorHAnsi"/>
          <w:b/>
          <w:sz w:val="24"/>
          <w:szCs w:val="24"/>
          <w:vertAlign w:val="subscript"/>
          <w:lang w:val="en-CA"/>
        </w:rPr>
        <w:t>a</w:t>
      </w:r>
      <w:proofErr w:type="spellEnd"/>
      <w:r w:rsidR="00AB4287">
        <w:rPr>
          <w:rFonts w:eastAsiaTheme="minorEastAsia" w:cstheme="minorHAnsi"/>
          <w:b/>
          <w:sz w:val="24"/>
          <w:szCs w:val="24"/>
          <w:lang w:val="en-CA"/>
        </w:rPr>
        <w:t>: activation energy.</w:t>
      </w:r>
    </w:p>
    <w:p w14:paraId="30FE2572" w14:textId="06AD498D" w:rsidR="00CC1403" w:rsidRDefault="00CC1403" w:rsidP="002B0AA8">
      <w:pPr>
        <w:spacing w:after="0" w:line="360" w:lineRule="auto"/>
        <w:rPr>
          <w:rFonts w:eastAsiaTheme="minorEastAsia" w:cstheme="minorHAnsi"/>
          <w:sz w:val="24"/>
          <w:szCs w:val="24"/>
          <w:lang w:val="en-CA"/>
        </w:rPr>
      </w:pPr>
    </w:p>
    <w:p w14:paraId="52544046" w14:textId="0D593869" w:rsidR="00C02D57" w:rsidRDefault="00CC1403" w:rsidP="00CC1403">
      <w:pPr>
        <w:spacing w:after="0" w:line="360" w:lineRule="auto"/>
        <w:rPr>
          <w:rFonts w:eastAsiaTheme="minorEastAsia" w:cstheme="minorHAnsi"/>
          <w:sz w:val="24"/>
          <w:szCs w:val="24"/>
          <w:lang w:val="en-CA"/>
        </w:rPr>
      </w:pPr>
      <w:r>
        <w:rPr>
          <w:rFonts w:eastAsiaTheme="minorEastAsia" w:cstheme="minorHAnsi"/>
          <w:sz w:val="24"/>
          <w:szCs w:val="24"/>
          <w:lang w:val="en-CA"/>
        </w:rPr>
        <w:lastRenderedPageBreak/>
        <w:t>For the full model structure and equations, please see the accompanying R package {</w:t>
      </w:r>
      <w:proofErr w:type="spellStart"/>
      <w:proofErr w:type="gramStart"/>
      <w:r>
        <w:rPr>
          <w:rFonts w:eastAsiaTheme="minorEastAsia" w:cstheme="minorHAnsi"/>
          <w:sz w:val="24"/>
          <w:szCs w:val="24"/>
          <w:lang w:val="en-CA"/>
        </w:rPr>
        <w:t>arrhenius.comparison</w:t>
      </w:r>
      <w:proofErr w:type="spellEnd"/>
      <w:proofErr w:type="gramEnd"/>
      <w:r>
        <w:rPr>
          <w:rFonts w:eastAsiaTheme="minorEastAsia" w:cstheme="minorHAnsi"/>
          <w:sz w:val="24"/>
          <w:szCs w:val="24"/>
          <w:lang w:val="en-CA"/>
        </w:rPr>
        <w:t xml:space="preserve">} (Stinziano et al. XXXX) (see Table 2 for equations). Briefly, we linked the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 stomatal conductance model with the Farquhar et al. (1980) C</w:t>
      </w:r>
      <w:r>
        <w:rPr>
          <w:rFonts w:eastAsiaTheme="minorEastAsia" w:cstheme="minorHAnsi"/>
          <w:sz w:val="24"/>
          <w:szCs w:val="24"/>
          <w:vertAlign w:val="subscript"/>
          <w:lang w:val="en-CA"/>
        </w:rPr>
        <w:t>3</w:t>
      </w:r>
      <w:r>
        <w:rPr>
          <w:rFonts w:eastAsiaTheme="minorEastAsia" w:cstheme="minorHAnsi"/>
          <w:sz w:val="24"/>
          <w:szCs w:val="24"/>
          <w:lang w:val="en-CA"/>
        </w:rPr>
        <w:t xml:space="preserve"> photosynthesis model, assuming infinite mesophyll conductance to CO</w:t>
      </w:r>
      <w:r>
        <w:rPr>
          <w:rFonts w:eastAsiaTheme="minorEastAsia" w:cstheme="minorHAnsi"/>
          <w:sz w:val="24"/>
          <w:szCs w:val="24"/>
          <w:vertAlign w:val="subscript"/>
          <w:lang w:val="en-CA"/>
        </w:rPr>
        <w:t>2</w:t>
      </w:r>
      <w:r>
        <w:rPr>
          <w:rFonts w:eastAsiaTheme="minorEastAsia" w:cstheme="minorHAnsi"/>
          <w:sz w:val="24"/>
          <w:szCs w:val="24"/>
          <w:lang w:val="en-CA"/>
        </w:rPr>
        <w:t xml:space="preserve"> as these assumptions were used in fitting the data from </w:t>
      </w: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et al. (2018). Photosynthetic capacity, both maximum rubisco carboxylation capacity, </w:t>
      </w:r>
      <w:proofErr w:type="spellStart"/>
      <w:r>
        <w:rPr>
          <w:rFonts w:eastAsiaTheme="minorEastAsia" w:cstheme="minorHAnsi"/>
          <w:sz w:val="24"/>
          <w:szCs w:val="24"/>
          <w:lang w:val="en-CA"/>
        </w:rPr>
        <w:t>V</w:t>
      </w:r>
      <w:r>
        <w:rPr>
          <w:rFonts w:eastAsiaTheme="minorEastAsia" w:cstheme="minorHAnsi"/>
          <w:sz w:val="24"/>
          <w:szCs w:val="24"/>
          <w:vertAlign w:val="subscript"/>
          <w:lang w:val="en-CA"/>
        </w:rPr>
        <w:t>cmax</w:t>
      </w:r>
      <w:proofErr w:type="spellEnd"/>
      <w:r>
        <w:rPr>
          <w:rFonts w:eastAsiaTheme="minorEastAsia" w:cstheme="minorHAnsi"/>
          <w:sz w:val="24"/>
          <w:szCs w:val="24"/>
          <w:lang w:val="en-CA"/>
        </w:rPr>
        <w:t xml:space="preserve">, and maximum electron transport rate, </w:t>
      </w:r>
      <w:proofErr w:type="spellStart"/>
      <w:r>
        <w:rPr>
          <w:rFonts w:eastAsiaTheme="minorEastAsia" w:cstheme="minorHAnsi"/>
          <w:sz w:val="24"/>
          <w:szCs w:val="24"/>
          <w:lang w:val="en-CA"/>
        </w:rPr>
        <w:t>J</w:t>
      </w:r>
      <w:r>
        <w:rPr>
          <w:rFonts w:eastAsiaTheme="minorEastAsia" w:cstheme="minorHAnsi"/>
          <w:sz w:val="24"/>
          <w:szCs w:val="24"/>
          <w:vertAlign w:val="subscript"/>
          <w:lang w:val="en-CA"/>
        </w:rPr>
        <w:t>max</w:t>
      </w:r>
      <w:proofErr w:type="spellEnd"/>
      <w:r>
        <w:rPr>
          <w:rFonts w:eastAsiaTheme="minorEastAsia" w:cstheme="minorHAnsi"/>
          <w:sz w:val="24"/>
          <w:szCs w:val="24"/>
          <w:lang w:val="en-CA"/>
        </w:rPr>
        <w:t xml:space="preserve"> were scaled to temperature using either Equation 3 or 10, while respiration was scaled according to (Atkin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2003) Leaf respiration during the day was assumed to be 70% of dark respiration (REF). </w:t>
      </w:r>
      <w:r w:rsidR="001E4502">
        <w:rPr>
          <w:rFonts w:eastAsiaTheme="minorEastAsia" w:cstheme="minorHAnsi"/>
          <w:sz w:val="24"/>
          <w:szCs w:val="24"/>
          <w:lang w:val="en-CA"/>
        </w:rPr>
        <w:t>Photosynthesis and respiration were summed across each modelled day to calculate daily plant carbon assimilation.</w:t>
      </w:r>
    </w:p>
    <w:p w14:paraId="4A125AA8" w14:textId="77777777" w:rsidR="00D658A8" w:rsidRDefault="00D658A8" w:rsidP="00CC1403">
      <w:pPr>
        <w:spacing w:after="0" w:line="360" w:lineRule="auto"/>
        <w:rPr>
          <w:rFonts w:eastAsiaTheme="minorEastAsia" w:cstheme="minorHAnsi"/>
          <w:sz w:val="24"/>
          <w:szCs w:val="24"/>
          <w:lang w:val="en-CA"/>
        </w:rPr>
      </w:pPr>
    </w:p>
    <w:p w14:paraId="739373E9" w14:textId="552F5333" w:rsidR="00AB4287" w:rsidRPr="00D658A8" w:rsidRDefault="00D658A8"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Table 2. Equations used in modeling daily carbon uptake.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394"/>
      </w:tblGrid>
      <w:tr w:rsidR="00D731FD" w14:paraId="39311270" w14:textId="77777777" w:rsidTr="00D658A8">
        <w:tc>
          <w:tcPr>
            <w:tcW w:w="5524" w:type="dxa"/>
            <w:tcBorders>
              <w:top w:val="single" w:sz="4" w:space="0" w:color="auto"/>
              <w:bottom w:val="single" w:sz="4" w:space="0" w:color="auto"/>
            </w:tcBorders>
          </w:tcPr>
          <w:p w14:paraId="11429B6A" w14:textId="715B4461"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Equation</w:t>
            </w:r>
          </w:p>
        </w:tc>
        <w:tc>
          <w:tcPr>
            <w:tcW w:w="4394" w:type="dxa"/>
            <w:tcBorders>
              <w:top w:val="single" w:sz="4" w:space="0" w:color="auto"/>
              <w:bottom w:val="single" w:sz="4" w:space="0" w:color="auto"/>
            </w:tcBorders>
          </w:tcPr>
          <w:p w14:paraId="4350E68F" w14:textId="0BF32D0B"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Reference</w:t>
            </w:r>
          </w:p>
        </w:tc>
      </w:tr>
      <w:tr w:rsidR="00D731FD" w14:paraId="5865E819" w14:textId="77777777" w:rsidTr="00D658A8">
        <w:tc>
          <w:tcPr>
            <w:tcW w:w="5524" w:type="dxa"/>
            <w:tcBorders>
              <w:top w:val="single" w:sz="4" w:space="0" w:color="auto"/>
            </w:tcBorders>
          </w:tcPr>
          <w:p w14:paraId="2A9D28C8" w14:textId="5E6CB362" w:rsidR="00D731FD" w:rsidRPr="00AB4287" w:rsidRDefault="00D731FD" w:rsidP="00CC1403">
            <w:pPr>
              <w:spacing w:line="360" w:lineRule="auto"/>
              <w:rPr>
                <w:rFonts w:eastAsiaTheme="minorEastAsia" w:cstheme="minorHAnsi"/>
                <w:sz w:val="24"/>
                <w:szCs w:val="24"/>
                <w:lang w:val="en-CA"/>
              </w:rPr>
            </w:pPr>
            <m:oMathPara>
              <m:oMath>
                <m:r>
                  <w:rPr>
                    <w:rFonts w:ascii="Cambria Math" w:eastAsiaTheme="minorEastAsia" w:hAnsi="Cambria Math" w:cstheme="minorHAnsi"/>
                    <w:sz w:val="24"/>
                    <w:szCs w:val="24"/>
                    <w:lang w:val="en-CA"/>
                  </w:rPr>
                  <m:t>f(T)=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sSubSup>
                  <m:sSubSupPr>
                    <m:ctrlPr>
                      <w:rPr>
                        <w:rFonts w:ascii="Cambria Math" w:eastAsiaTheme="minorEastAsia" w:hAnsi="Cambria Math" w:cstheme="minorHAnsi"/>
                        <w:i/>
                        <w:sz w:val="24"/>
                        <w:szCs w:val="24"/>
                        <w:lang w:val="en-CA"/>
                      </w:rPr>
                    </m:ctrlPr>
                  </m:sSubSup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10</m:t>
                    </m:r>
                  </m:sub>
                  <m:sup>
                    <m:f>
                      <m:fPr>
                        <m:ctrlPr>
                          <w:rPr>
                            <w:rFonts w:ascii="Cambria Math" w:eastAsiaTheme="minorEastAsia" w:hAnsi="Cambria Math" w:cstheme="minorHAnsi"/>
                            <w:i/>
                            <w:sz w:val="24"/>
                            <w:szCs w:val="24"/>
                            <w:lang w:val="en-CA"/>
                          </w:rPr>
                        </m:ctrlPr>
                      </m:fPr>
                      <m:num>
                        <m:r>
                          <w:rPr>
                            <w:rFonts w:ascii="Cambria Math" w:eastAsiaTheme="minorEastAsia" w:hAnsi="Cambria Math" w:cstheme="minorHAnsi"/>
                            <w:sz w:val="24"/>
                            <w:szCs w:val="24"/>
                            <w:lang w:val="en-CA"/>
                          </w:rPr>
                          <m:t>T-298.15</m:t>
                        </m:r>
                      </m:num>
                      <m:den>
                        <m:r>
                          <w:rPr>
                            <w:rFonts w:ascii="Cambria Math" w:eastAsiaTheme="minorEastAsia" w:hAnsi="Cambria Math" w:cstheme="minorHAnsi"/>
                            <w:sz w:val="24"/>
                            <w:szCs w:val="24"/>
                            <w:lang w:val="en-CA"/>
                          </w:rPr>
                          <m:t>10</m:t>
                        </m:r>
                      </m:den>
                    </m:f>
                  </m:sup>
                </m:sSubSup>
              </m:oMath>
            </m:oMathPara>
          </w:p>
        </w:tc>
        <w:tc>
          <w:tcPr>
            <w:tcW w:w="4394" w:type="dxa"/>
            <w:tcBorders>
              <w:top w:val="single" w:sz="4" w:space="0" w:color="auto"/>
            </w:tcBorders>
          </w:tcPr>
          <w:p w14:paraId="6A324F2E" w14:textId="140B73A7"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2003</w:t>
            </w:r>
          </w:p>
        </w:tc>
      </w:tr>
      <w:tr w:rsidR="00D731FD" w14:paraId="1302B754" w14:textId="77777777" w:rsidTr="00D658A8">
        <w:tc>
          <w:tcPr>
            <w:tcW w:w="5524" w:type="dxa"/>
          </w:tcPr>
          <w:p w14:paraId="5885E976" w14:textId="77165B54"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m:oMathPara>
          </w:p>
        </w:tc>
        <w:tc>
          <w:tcPr>
            <w:tcW w:w="4394" w:type="dxa"/>
          </w:tcPr>
          <w:p w14:paraId="245A40AA" w14:textId="0D86D218"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Arrhenius, 1915</w:t>
            </w:r>
          </w:p>
        </w:tc>
      </w:tr>
      <w:tr w:rsidR="00D731FD" w14:paraId="1C4F7600" w14:textId="77777777" w:rsidTr="00D658A8">
        <w:tc>
          <w:tcPr>
            <w:tcW w:w="5524" w:type="dxa"/>
          </w:tcPr>
          <w:p w14:paraId="6A3FCB6F" w14:textId="35F758D3"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2C6C4AD3" w14:textId="5A3E9DDC"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Johnson et al., 1942;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2002</w:t>
            </w:r>
          </w:p>
        </w:tc>
      </w:tr>
      <w:tr w:rsidR="00D658A8" w14:paraId="282E2388" w14:textId="77777777" w:rsidTr="00D658A8">
        <w:tc>
          <w:tcPr>
            <w:tcW w:w="5524" w:type="dxa"/>
          </w:tcPr>
          <w:p w14:paraId="0B211143" w14:textId="3142DCD9" w:rsidR="00D658A8"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0E9FEC05" w14:textId="195F9908" w:rsidR="00D658A8"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Johnson et al., 1942; this study</w:t>
            </w:r>
          </w:p>
        </w:tc>
      </w:tr>
      <w:tr w:rsidR="00D731FD" w14:paraId="2339CFA1" w14:textId="77777777" w:rsidTr="00D658A8">
        <w:tc>
          <w:tcPr>
            <w:tcW w:w="5524" w:type="dxa"/>
          </w:tcPr>
          <w:p w14:paraId="2F6EADCD" w14:textId="21AC3BF6" w:rsidR="00D731FD" w:rsidRDefault="00D731FD"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c</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V</m:t>
                    </m:r>
                  </m:e>
                  <m:sub>
                    <m:r>
                      <w:rPr>
                        <w:rFonts w:ascii="Cambria Math" w:eastAsiaTheme="minorEastAsia" w:hAnsi="Cambria Math" w:cstheme="minorHAnsi"/>
                        <w:sz w:val="24"/>
                        <w:szCs w:val="24"/>
                        <w:lang w:val="en-CA"/>
                      </w:rPr>
                      <m:t>cmax</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m</m:t>
                        </m:r>
                      </m:sub>
                    </m:sSub>
                  </m:den>
                </m:f>
              </m:oMath>
            </m:oMathPara>
          </w:p>
        </w:tc>
        <w:tc>
          <w:tcPr>
            <w:tcW w:w="4394" w:type="dxa"/>
          </w:tcPr>
          <w:p w14:paraId="440E561B" w14:textId="26367D69"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w:t>
            </w:r>
          </w:p>
        </w:tc>
      </w:tr>
      <w:tr w:rsidR="00D731FD" w14:paraId="7FAA777D" w14:textId="77777777" w:rsidTr="00D658A8">
        <w:tc>
          <w:tcPr>
            <w:tcW w:w="5524" w:type="dxa"/>
          </w:tcPr>
          <w:p w14:paraId="7BDF2AED" w14:textId="593E6029" w:rsidR="00D731FD" w:rsidRDefault="00D731FD"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j</m:t>
                    </m:r>
                  </m:sub>
                </m:sSub>
                <m:r>
                  <w:rPr>
                    <w:rFonts w:ascii="Cambria Math" w:eastAsiaTheme="minorEastAsia" w:hAnsi="Cambria Math" w:cstheme="minorHAnsi"/>
                    <w:sz w:val="24"/>
                    <w:szCs w:val="24"/>
                    <w:lang w:val="en-CA"/>
                  </w:rPr>
                  <m:t>=min</m:t>
                </m:r>
                <m:d>
                  <m:dPr>
                    <m:ctrlPr>
                      <w:rPr>
                        <w:rFonts w:ascii="Cambria Math" w:eastAsiaTheme="minorEastAsia" w:hAnsi="Cambria Math" w:cstheme="minorHAnsi"/>
                        <w:i/>
                        <w:sz w:val="24"/>
                        <w:szCs w:val="24"/>
                        <w:lang w:val="en-CA"/>
                      </w:rPr>
                    </m:ctrlPr>
                  </m:dPr>
                  <m:e>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J</m:t>
                        </m:r>
                      </m:e>
                      <m:sub>
                        <m:r>
                          <w:rPr>
                            <w:rFonts w:ascii="Cambria Math" w:eastAsiaTheme="minorEastAsia" w:hAnsi="Cambria Math" w:cstheme="minorHAnsi"/>
                            <w:sz w:val="24"/>
                            <w:szCs w:val="24"/>
                            <w:lang w:val="en-CA"/>
                          </w:rPr>
                          <m:t>max</m:t>
                        </m:r>
                      </m:sub>
                    </m:sSub>
                    <m:r>
                      <w:rPr>
                        <w:rFonts w:ascii="Cambria Math" w:eastAsiaTheme="minorEastAsia" w:hAnsi="Cambria Math" w:cstheme="minorHAnsi"/>
                        <w:sz w:val="24"/>
                        <w:szCs w:val="24"/>
                        <w:lang w:val="en-CA"/>
                      </w:rPr>
                      <m:t>, αφ</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in</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+2Γ*</m:t>
                        </m:r>
                      </m:den>
                    </m:f>
                  </m:e>
                </m:d>
              </m:oMath>
            </m:oMathPara>
          </w:p>
        </w:tc>
        <w:tc>
          <w:tcPr>
            <w:tcW w:w="4394" w:type="dxa"/>
          </w:tcPr>
          <w:p w14:paraId="3B7EC554" w14:textId="16FEB784"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 Way et al., 2011</w:t>
            </w:r>
          </w:p>
        </w:tc>
      </w:tr>
      <w:tr w:rsidR="00D731FD" w14:paraId="4260B80E" w14:textId="77777777" w:rsidTr="00D658A8">
        <w:tc>
          <w:tcPr>
            <w:tcW w:w="5524" w:type="dxa"/>
          </w:tcPr>
          <w:p w14:paraId="42F3C381" w14:textId="686982B1" w:rsidR="00D731FD" w:rsidRPr="00466F14" w:rsidRDefault="00D731FD"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=min</m:t>
                </m:r>
                <m:d>
                  <m:dPr>
                    <m:ctrlPr>
                      <w:rPr>
                        <w:rFonts w:ascii="Cambria Math" w:eastAsia="Times New Roman" w:hAnsi="Cambria Math" w:cs="Calibri"/>
                        <w:i/>
                        <w:sz w:val="24"/>
                        <w:szCs w:val="24"/>
                        <w:lang w:val="en-CA"/>
                      </w:rPr>
                    </m:ctrlPr>
                  </m:dPr>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c</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j</m:t>
                        </m:r>
                      </m:sub>
                    </m:sSub>
                  </m:e>
                </m:d>
              </m:oMath>
            </m:oMathPara>
          </w:p>
        </w:tc>
        <w:tc>
          <w:tcPr>
            <w:tcW w:w="4394" w:type="dxa"/>
          </w:tcPr>
          <w:p w14:paraId="1CA00807" w14:textId="77777777" w:rsidR="00D731FD" w:rsidRDefault="00D731FD" w:rsidP="00CC1403">
            <w:pPr>
              <w:spacing w:line="360" w:lineRule="auto"/>
              <w:rPr>
                <w:rFonts w:eastAsiaTheme="minorEastAsia" w:cstheme="minorHAnsi"/>
                <w:sz w:val="24"/>
                <w:szCs w:val="24"/>
                <w:lang w:val="en-CA"/>
              </w:rPr>
            </w:pPr>
          </w:p>
        </w:tc>
      </w:tr>
      <w:tr w:rsidR="00D731FD" w14:paraId="0356DABC" w14:textId="77777777" w:rsidTr="00D658A8">
        <w:tc>
          <w:tcPr>
            <w:tcW w:w="5524" w:type="dxa"/>
          </w:tcPr>
          <w:p w14:paraId="3E27E251" w14:textId="164CF2FF" w:rsidR="00D731FD" w:rsidRPr="009E31B0" w:rsidRDefault="00D731FD"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leaf</m:t>
                    </m:r>
                  </m:sub>
                </m:sSub>
              </m:oMath>
            </m:oMathPara>
          </w:p>
        </w:tc>
        <w:tc>
          <w:tcPr>
            <w:tcW w:w="4394" w:type="dxa"/>
          </w:tcPr>
          <w:p w14:paraId="1B220642" w14:textId="77777777" w:rsidR="00D731FD" w:rsidRDefault="00D731FD" w:rsidP="00CC1403">
            <w:pPr>
              <w:spacing w:line="360" w:lineRule="auto"/>
              <w:rPr>
                <w:rFonts w:eastAsiaTheme="minorEastAsia" w:cstheme="minorHAnsi"/>
                <w:sz w:val="24"/>
                <w:szCs w:val="24"/>
                <w:lang w:val="en-CA"/>
              </w:rPr>
            </w:pPr>
          </w:p>
        </w:tc>
      </w:tr>
      <w:tr w:rsidR="00D731FD" w14:paraId="523AE021" w14:textId="77777777" w:rsidTr="00D658A8">
        <w:tc>
          <w:tcPr>
            <w:tcW w:w="5524" w:type="dxa"/>
          </w:tcPr>
          <w:p w14:paraId="76FDC8C6" w14:textId="70CF56E7" w:rsidR="00D731FD" w:rsidRPr="009E31B0" w:rsidRDefault="00D731FD"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0</m:t>
                    </m:r>
                  </m:sub>
                </m:sSub>
                <m:r>
                  <w:rPr>
                    <w:rFonts w:ascii="Cambria Math" w:eastAsia="Times New Roman" w:hAnsi="Cambria Math" w:cs="Calibri"/>
                    <w:sz w:val="24"/>
                    <w:szCs w:val="24"/>
                    <w:lang w:val="en-CA"/>
                  </w:rPr>
                  <m:t>+1.6</m:t>
                </m:r>
                <m:d>
                  <m:dPr>
                    <m:ctrlPr>
                      <w:rPr>
                        <w:rFonts w:ascii="Cambria Math" w:eastAsia="Times New Roman" w:hAnsi="Cambria Math" w:cs="Calibri"/>
                        <w:i/>
                        <w:sz w:val="24"/>
                        <w:szCs w:val="24"/>
                        <w:lang w:val="en-CA"/>
                      </w:rPr>
                    </m:ctrlPr>
                  </m:dPr>
                  <m:e>
                    <m:r>
                      <w:rPr>
                        <w:rFonts w:ascii="Cambria Math" w:eastAsia="Times New Roman" w:hAnsi="Cambria Math" w:cs="Calibri"/>
                        <w:sz w:val="24"/>
                        <w:szCs w:val="24"/>
                        <w:lang w:val="en-CA"/>
                      </w:rPr>
                      <m:t>1+</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1</m:t>
                            </m:r>
                          </m:sub>
                        </m:sSub>
                      </m:num>
                      <m:den>
                        <m:rad>
                          <m:radPr>
                            <m:degHide m:val="1"/>
                            <m:ctrlPr>
                              <w:rPr>
                                <w:rFonts w:ascii="Cambria Math" w:eastAsia="Times New Roman" w:hAnsi="Cambria Math" w:cs="Calibri"/>
                                <w:i/>
                                <w:sz w:val="24"/>
                                <w:szCs w:val="24"/>
                                <w:lang w:val="en-CA"/>
                              </w:rPr>
                            </m:ctrlPr>
                          </m:radPr>
                          <m:deg/>
                          <m:e>
                            <m:r>
                              <w:rPr>
                                <w:rFonts w:ascii="Cambria Math" w:eastAsia="Times New Roman" w:hAnsi="Cambria Math" w:cs="Calibri"/>
                                <w:sz w:val="24"/>
                                <w:szCs w:val="24"/>
                                <w:lang w:val="en-CA"/>
                              </w:rPr>
                              <m:t>VPD</m:t>
                            </m:r>
                          </m:e>
                        </m:rad>
                      </m:den>
                    </m:f>
                  </m:e>
                </m:d>
                <m:d>
                  <m:dPr>
                    <m:ctrlPr>
                      <w:rPr>
                        <w:rFonts w:ascii="Cambria Math" w:eastAsia="Times New Roman" w:hAnsi="Cambria Math" w:cs="Calibri"/>
                        <w:i/>
                        <w:sz w:val="24"/>
                        <w:szCs w:val="24"/>
                        <w:lang w:val="en-CA"/>
                      </w:rPr>
                    </m:ctrlPr>
                  </m:dPr>
                  <m:e>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den>
                    </m:f>
                  </m:e>
                </m:d>
              </m:oMath>
            </m:oMathPara>
          </w:p>
        </w:tc>
        <w:tc>
          <w:tcPr>
            <w:tcW w:w="4394" w:type="dxa"/>
          </w:tcPr>
          <w:p w14:paraId="010C5C3A" w14:textId="44D97640" w:rsidR="00D731FD" w:rsidRDefault="00D731FD" w:rsidP="00CC1403">
            <w:pPr>
              <w:spacing w:line="360" w:lineRule="auto"/>
              <w:rPr>
                <w:rFonts w:eastAsiaTheme="minorEastAsia" w:cstheme="minorHAnsi"/>
                <w:sz w:val="24"/>
                <w:szCs w:val="24"/>
                <w:lang w:val="en-CA"/>
              </w:rPr>
            </w:pP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w:t>
            </w:r>
          </w:p>
        </w:tc>
      </w:tr>
      <w:tr w:rsidR="00D731FD" w14:paraId="7F70EAAB" w14:textId="77777777" w:rsidTr="00D658A8">
        <w:tc>
          <w:tcPr>
            <w:tcW w:w="5524" w:type="dxa"/>
          </w:tcPr>
          <w:p w14:paraId="2A50CF52" w14:textId="7E43FDA3" w:rsidR="00D731FD" w:rsidRPr="009E31B0" w:rsidRDefault="00BE5F77"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i</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r>
                  <w:rPr>
                    <w:rFonts w:ascii="Cambria Math" w:eastAsia="Times New Roman" w:hAnsi="Cambria Math" w:cs="Calibri"/>
                    <w:sz w:val="24"/>
                    <w:szCs w:val="24"/>
                    <w:lang w:val="en-CA"/>
                  </w:rPr>
                  <m:t>-</m:t>
                </m:r>
                <m:r>
                  <w:rPr>
                    <w:rFonts w:ascii="Cambria Math" w:eastAsia="Times New Roman" w:hAnsi="Cambria Math" w:cs="Calibri"/>
                    <w:sz w:val="24"/>
                    <w:szCs w:val="24"/>
                    <w:lang w:val="en-CA"/>
                  </w:rPr>
                  <m:t>1.6</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den>
                </m:f>
              </m:oMath>
            </m:oMathPara>
          </w:p>
        </w:tc>
        <w:tc>
          <w:tcPr>
            <w:tcW w:w="4394" w:type="dxa"/>
          </w:tcPr>
          <w:p w14:paraId="792E4744" w14:textId="77777777" w:rsidR="00D731FD" w:rsidRDefault="00D731FD" w:rsidP="00CC1403">
            <w:pPr>
              <w:spacing w:line="360" w:lineRule="auto"/>
              <w:rPr>
                <w:rFonts w:eastAsiaTheme="minorEastAsia" w:cstheme="minorHAnsi"/>
                <w:sz w:val="24"/>
                <w:szCs w:val="24"/>
                <w:lang w:val="en-CA"/>
              </w:rPr>
            </w:pPr>
          </w:p>
        </w:tc>
      </w:tr>
      <w:tr w:rsidR="00D731FD" w14:paraId="1D18B9DB" w14:textId="77777777" w:rsidTr="00D658A8">
        <w:tc>
          <w:tcPr>
            <w:tcW w:w="5524" w:type="dxa"/>
          </w:tcPr>
          <w:p w14:paraId="0368AB22" w14:textId="0D69CEA4" w:rsidR="00D731FD" w:rsidRPr="00466F14" w:rsidRDefault="00BE5F77"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m:rPr>
                    <m:sty m:val="p"/>
                  </m:rPr>
                  <w:rPr>
                    <w:rStyle w:val="CommentReference"/>
                  </w:rPr>
                  <w:commentReference w:id="5"/>
                </m:r>
                <m:r>
                  <w:rPr>
                    <w:rFonts w:ascii="Cambria Math" w:eastAsia="Times New Roman" w:hAnsi="Cambria Math" w:cs="Calibri"/>
                    <w:sz w:val="24"/>
                    <w:szCs w:val="24"/>
                    <w:lang w:val="en-CA"/>
                  </w:rPr>
                  <m:t>×LA-</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stem</m:t>
                    </m:r>
                  </m:sub>
                </m:sSub>
                <m:r>
                  <w:rPr>
                    <w:rFonts w:ascii="Cambria Math" w:eastAsia="Times New Roman" w:hAnsi="Cambria Math" w:cs="Calibri"/>
                    <w:sz w:val="24"/>
                    <w:szCs w:val="24"/>
                    <w:lang w:val="en-CA"/>
                  </w:rPr>
                  <m:t>×SM-</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root</m:t>
                    </m:r>
                  </m:sub>
                </m:sSub>
                <m:r>
                  <w:rPr>
                    <w:rFonts w:ascii="Cambria Math" w:eastAsia="Times New Roman" w:hAnsi="Cambria Math" w:cs="Calibri"/>
                    <w:sz w:val="24"/>
                    <w:szCs w:val="24"/>
                    <w:lang w:val="en-CA"/>
                  </w:rPr>
                  <m:t>×RM</m:t>
                </m:r>
              </m:oMath>
            </m:oMathPara>
          </w:p>
        </w:tc>
        <w:tc>
          <w:tcPr>
            <w:tcW w:w="4394" w:type="dxa"/>
          </w:tcPr>
          <w:p w14:paraId="6179EA27" w14:textId="77777777" w:rsidR="00D731FD" w:rsidRDefault="00D731FD" w:rsidP="00CC1403">
            <w:pPr>
              <w:spacing w:line="360" w:lineRule="auto"/>
              <w:rPr>
                <w:rFonts w:eastAsiaTheme="minorEastAsia" w:cstheme="minorHAnsi"/>
                <w:sz w:val="24"/>
                <w:szCs w:val="24"/>
                <w:lang w:val="en-CA"/>
              </w:rPr>
            </w:pPr>
          </w:p>
        </w:tc>
      </w:tr>
      <w:tr w:rsidR="00650BFF" w14:paraId="5C947EC4" w14:textId="77777777" w:rsidTr="00D658A8">
        <w:tc>
          <w:tcPr>
            <w:tcW w:w="5524" w:type="dxa"/>
          </w:tcPr>
          <w:p w14:paraId="1D6D08B1" w14:textId="51D63E1C" w:rsidR="00650BFF" w:rsidRPr="004F7DAB" w:rsidRDefault="00650BFF"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balance</m:t>
                    </m:r>
                  </m:sub>
                </m:sSub>
                <m:r>
                  <w:rPr>
                    <w:rFonts w:ascii="Cambria Math" w:eastAsia="Times New Roman" w:hAnsi="Cambria Math" w:cs="Calibri"/>
                    <w:sz w:val="24"/>
                    <w:szCs w:val="24"/>
                    <w:lang w:val="en-CA"/>
                  </w:rPr>
                  <m:t>=</m:t>
                </m:r>
                <m:nary>
                  <m:naryPr>
                    <m:chr m:val="∑"/>
                    <m:limLoc m:val="undOvr"/>
                    <m:subHide m:val="1"/>
                    <m:supHide m:val="1"/>
                    <m:ctrlPr>
                      <w:rPr>
                        <w:rFonts w:ascii="Cambria Math" w:eastAsia="Times New Roman" w:hAnsi="Cambria Math" w:cs="Calibri"/>
                        <w:i/>
                        <w:sz w:val="24"/>
                        <w:szCs w:val="24"/>
                        <w:lang w:val="en-CA"/>
                      </w:rPr>
                    </m:ctrlPr>
                  </m:naryPr>
                  <m:sub/>
                  <m:sup/>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×3600×</m:t>
                    </m:r>
                  </m:e>
                </m:nary>
                <m:f>
                  <m:fPr>
                    <m:ctrlPr>
                      <w:rPr>
                        <w:rFonts w:ascii="Cambria Math" w:eastAsia="Times New Roman" w:hAnsi="Cambria Math" w:cs="Calibri"/>
                        <w:i/>
                        <w:sz w:val="24"/>
                        <w:szCs w:val="24"/>
                        <w:lang w:val="en-CA"/>
                      </w:rPr>
                    </m:ctrlPr>
                  </m:fPr>
                  <m:num>
                    <m:r>
                      <w:rPr>
                        <w:rFonts w:ascii="Cambria Math" w:eastAsia="Times New Roman" w:hAnsi="Cambria Math" w:cs="Calibri"/>
                        <w:sz w:val="24"/>
                        <w:szCs w:val="24"/>
                        <w:lang w:val="en-CA"/>
                      </w:rPr>
                      <m:t>12.01</m:t>
                    </m:r>
                  </m:num>
                  <m:den>
                    <m:r>
                      <w:rPr>
                        <w:rFonts w:ascii="Cambria Math" w:eastAsia="Times New Roman" w:hAnsi="Cambria Math" w:cs="Calibri"/>
                        <w:sz w:val="24"/>
                        <w:szCs w:val="24"/>
                        <w:lang w:val="en-CA"/>
                      </w:rPr>
                      <m:t>1,000,000</m:t>
                    </m:r>
                  </m:den>
                </m:f>
              </m:oMath>
            </m:oMathPara>
          </w:p>
        </w:tc>
        <w:tc>
          <w:tcPr>
            <w:tcW w:w="4394" w:type="dxa"/>
          </w:tcPr>
          <w:p w14:paraId="7AF3230C" w14:textId="77777777" w:rsidR="00650BFF" w:rsidRDefault="00650BFF" w:rsidP="00CC1403">
            <w:pPr>
              <w:spacing w:line="360" w:lineRule="auto"/>
              <w:rPr>
                <w:rFonts w:eastAsiaTheme="minorEastAsia" w:cstheme="minorHAnsi"/>
                <w:sz w:val="24"/>
                <w:szCs w:val="24"/>
                <w:lang w:val="en-CA"/>
              </w:rPr>
            </w:pPr>
          </w:p>
        </w:tc>
      </w:tr>
    </w:tbl>
    <w:p w14:paraId="17FB4175" w14:textId="35B89E1B" w:rsidR="00AB4287" w:rsidRPr="00C87C44" w:rsidRDefault="00C87C44"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f(T): rate of a process at a given temperature; T: temperature in K; k</w:t>
      </w:r>
      <w:r>
        <w:rPr>
          <w:rFonts w:eastAsiaTheme="minorEastAsia" w:cstheme="minorHAnsi"/>
          <w:b/>
          <w:sz w:val="24"/>
          <w:szCs w:val="24"/>
          <w:vertAlign w:val="subscript"/>
          <w:lang w:val="en-CA"/>
        </w:rPr>
        <w:t>25</w:t>
      </w:r>
      <w:r>
        <w:rPr>
          <w:rFonts w:eastAsiaTheme="minorEastAsia" w:cstheme="minorHAnsi"/>
          <w:b/>
          <w:sz w:val="24"/>
          <w:szCs w:val="24"/>
          <w:lang w:val="en-CA"/>
        </w:rPr>
        <w:t>: rate of a process at 25 °C; 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thermal sensitivity coefficient; </w:t>
      </w:r>
      <w:proofErr w:type="spellStart"/>
      <w:r>
        <w:rPr>
          <w:rFonts w:eastAsiaTheme="minorEastAsia" w:cstheme="minorHAnsi"/>
          <w:b/>
          <w:sz w:val="24"/>
          <w:szCs w:val="24"/>
          <w:lang w:val="en-CA"/>
        </w:rPr>
        <w:t>E</w:t>
      </w:r>
      <w:r>
        <w:rPr>
          <w:rFonts w:eastAsiaTheme="minorEastAsia" w:cstheme="minorHAnsi"/>
          <w:b/>
          <w:sz w:val="24"/>
          <w:szCs w:val="24"/>
          <w:vertAlign w:val="subscript"/>
          <w:lang w:val="en-CA"/>
        </w:rPr>
        <w:t>a</w:t>
      </w:r>
      <w:proofErr w:type="spellEnd"/>
      <w:r>
        <w:rPr>
          <w:rFonts w:eastAsiaTheme="minorEastAsia" w:cstheme="minorHAnsi"/>
          <w:b/>
          <w:sz w:val="24"/>
          <w:szCs w:val="24"/>
          <w:lang w:val="en-CA"/>
        </w:rPr>
        <w:t>: 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ΔS: entropy parameter in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H</w:t>
      </w:r>
      <w:r>
        <w:rPr>
          <w:rFonts w:eastAsiaTheme="minorEastAsia" w:cstheme="minorHAnsi"/>
          <w:b/>
          <w:sz w:val="24"/>
          <w:szCs w:val="24"/>
          <w:vertAlign w:val="subscript"/>
          <w:lang w:val="en-CA"/>
        </w:rPr>
        <w:t>d</w:t>
      </w:r>
      <w:proofErr w:type="spellEnd"/>
      <w:r>
        <w:rPr>
          <w:rFonts w:eastAsiaTheme="minorEastAsia" w:cstheme="minorHAnsi"/>
          <w:b/>
          <w:sz w:val="24"/>
          <w:szCs w:val="24"/>
          <w:lang w:val="en-CA"/>
        </w:rPr>
        <w:t>: deactivation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R: universal gas constant in 0.008314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K</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c</w:t>
      </w:r>
      <w:proofErr w:type="spellEnd"/>
      <w:r>
        <w:rPr>
          <w:rFonts w:eastAsiaTheme="minorEastAsia" w:cstheme="minorHAnsi"/>
          <w:b/>
          <w:sz w:val="24"/>
          <w:szCs w:val="24"/>
          <w:lang w:val="en-CA"/>
        </w:rPr>
        <w:t>: rate of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-limited carboxylation;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j</w:t>
      </w:r>
      <w:proofErr w:type="spellEnd"/>
      <w:r>
        <w:rPr>
          <w:rFonts w:eastAsiaTheme="minorEastAsia" w:cstheme="minorHAnsi"/>
          <w:b/>
          <w:sz w:val="24"/>
          <w:szCs w:val="24"/>
          <w:lang w:val="en-CA"/>
        </w:rPr>
        <w:t xml:space="preserve">: rate of RuBP regeneration-limited carboxylation; </w:t>
      </w:r>
      <w:proofErr w:type="spellStart"/>
      <w:r>
        <w:rPr>
          <w:rFonts w:eastAsiaTheme="minorEastAsia" w:cstheme="minorHAnsi"/>
          <w:b/>
          <w:sz w:val="24"/>
          <w:szCs w:val="24"/>
          <w:lang w:val="en-CA"/>
        </w:rPr>
        <w:t>V</w:t>
      </w:r>
      <w:r>
        <w:rPr>
          <w:rFonts w:eastAsiaTheme="minorEastAsia" w:cstheme="minorHAnsi"/>
          <w:b/>
          <w:sz w:val="24"/>
          <w:szCs w:val="24"/>
          <w:vertAlign w:val="subscript"/>
          <w:lang w:val="en-CA"/>
        </w:rPr>
        <w:t>cmax</w:t>
      </w:r>
      <w:proofErr w:type="spellEnd"/>
      <w:r>
        <w:rPr>
          <w:rFonts w:eastAsiaTheme="minorEastAsia" w:cstheme="minorHAnsi"/>
          <w:b/>
          <w:sz w:val="24"/>
          <w:szCs w:val="24"/>
          <w:lang w:val="en-CA"/>
        </w:rPr>
        <w:t xml:space="preserve">: maximum rate of rubisco carboxylation capacity; </w:t>
      </w:r>
      <w:proofErr w:type="spellStart"/>
      <w:r>
        <w:rPr>
          <w:rFonts w:eastAsiaTheme="minorEastAsia" w:cstheme="minorHAnsi"/>
          <w:b/>
          <w:sz w:val="24"/>
          <w:szCs w:val="24"/>
          <w:lang w:val="en-CA"/>
        </w:rPr>
        <w:t>J</w:t>
      </w:r>
      <w:r>
        <w:rPr>
          <w:rFonts w:eastAsiaTheme="minorEastAsia" w:cstheme="minorHAnsi"/>
          <w:b/>
          <w:sz w:val="24"/>
          <w:szCs w:val="24"/>
          <w:vertAlign w:val="subscript"/>
          <w:lang w:val="en-CA"/>
        </w:rPr>
        <w:t>max</w:t>
      </w:r>
      <w:proofErr w:type="spellEnd"/>
      <w:r>
        <w:rPr>
          <w:rFonts w:eastAsiaTheme="minorEastAsia" w:cstheme="minorHAnsi"/>
          <w:b/>
          <w:sz w:val="24"/>
          <w:szCs w:val="24"/>
          <w:lang w:val="en-CA"/>
        </w:rPr>
        <w:t>: maximum rate of electron transport; C</w:t>
      </w:r>
      <w:r>
        <w:rPr>
          <w:rFonts w:eastAsiaTheme="minorEastAsia" w:cstheme="minorHAnsi"/>
          <w:b/>
          <w:sz w:val="24"/>
          <w:szCs w:val="24"/>
          <w:vertAlign w:val="subscript"/>
          <w:lang w:val="en-CA"/>
        </w:rPr>
        <w:t>i</w:t>
      </w:r>
      <w:r>
        <w:rPr>
          <w:rFonts w:eastAsiaTheme="minorEastAsia" w:cstheme="minorHAnsi"/>
          <w:b/>
          <w:sz w:val="24"/>
          <w:szCs w:val="24"/>
          <w:lang w:val="en-CA"/>
        </w:rPr>
        <w:t>: intercellular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Γ*: photorespiratory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compensation point; K</w:t>
      </w:r>
      <w:r>
        <w:rPr>
          <w:rFonts w:eastAsiaTheme="minorEastAsia" w:cstheme="minorHAnsi"/>
          <w:b/>
          <w:sz w:val="24"/>
          <w:szCs w:val="24"/>
          <w:vertAlign w:val="subscript"/>
          <w:lang w:val="en-CA"/>
        </w:rPr>
        <w:t>m</w:t>
      </w:r>
      <w:r>
        <w:rPr>
          <w:rFonts w:eastAsiaTheme="minorEastAsia" w:cstheme="minorHAnsi"/>
          <w:b/>
          <w:sz w:val="24"/>
          <w:szCs w:val="24"/>
          <w:lang w:val="en-CA"/>
        </w:rPr>
        <w:t>: Michaelis-Menten constant for rubisco; α: absorbance of photosynthetically active radiation; ϕ: maximum quantum efficiency of electron transport; Q</w:t>
      </w:r>
      <w:r>
        <w:rPr>
          <w:rFonts w:eastAsiaTheme="minorEastAsia" w:cstheme="minorHAnsi"/>
          <w:b/>
          <w:sz w:val="24"/>
          <w:szCs w:val="24"/>
          <w:vertAlign w:val="subscript"/>
          <w:lang w:val="en-CA"/>
        </w:rPr>
        <w:t>in</w:t>
      </w:r>
      <w:r>
        <w:rPr>
          <w:rFonts w:eastAsiaTheme="minorEastAsia" w:cstheme="minorHAnsi"/>
          <w:b/>
          <w:sz w:val="24"/>
          <w:szCs w:val="24"/>
          <w:lang w:val="en-CA"/>
        </w:rPr>
        <w:t xml:space="preserve">: incident photosynthetically active radiation;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gross</w:t>
      </w:r>
      <w:proofErr w:type="spellEnd"/>
      <w:r>
        <w:rPr>
          <w:rFonts w:eastAsiaTheme="minorEastAsia" w:cstheme="minorHAnsi"/>
          <w:b/>
          <w:sz w:val="24"/>
          <w:szCs w:val="24"/>
          <w:lang w:val="en-CA"/>
        </w:rPr>
        <w:t>: gross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net</w:t>
      </w:r>
      <w:proofErr w:type="spellEnd"/>
      <w:r>
        <w:rPr>
          <w:rFonts w:eastAsiaTheme="minorEastAsia" w:cstheme="minorHAnsi"/>
          <w:b/>
          <w:sz w:val="24"/>
          <w:szCs w:val="24"/>
          <w:lang w:val="en-CA"/>
        </w:rPr>
        <w: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leaf</w:t>
      </w:r>
      <w:proofErr w:type="spellEnd"/>
      <w:r>
        <w:rPr>
          <w:rFonts w:eastAsiaTheme="minorEastAsia" w:cstheme="minorHAnsi"/>
          <w:b/>
          <w:sz w:val="24"/>
          <w:szCs w:val="24"/>
          <w:lang w:val="en-CA"/>
        </w:rPr>
        <w:t xml:space="preserve">: leaf respiration; </w:t>
      </w:r>
      <w:proofErr w:type="spellStart"/>
      <w:r>
        <w:rPr>
          <w:rFonts w:eastAsiaTheme="minorEastAsia" w:cstheme="minorHAnsi"/>
          <w:b/>
          <w:sz w:val="24"/>
          <w:szCs w:val="24"/>
          <w:lang w:val="en-CA"/>
        </w:rPr>
        <w:t>g</w:t>
      </w:r>
      <w:r>
        <w:rPr>
          <w:rFonts w:eastAsiaTheme="minorEastAsia" w:cstheme="minorHAnsi"/>
          <w:b/>
          <w:sz w:val="24"/>
          <w:szCs w:val="24"/>
          <w:vertAlign w:val="subscript"/>
          <w:lang w:val="en-CA"/>
        </w:rPr>
        <w:t>s</w:t>
      </w:r>
      <w:proofErr w:type="spellEnd"/>
      <w:r>
        <w:rPr>
          <w:rFonts w:eastAsiaTheme="minorEastAsia" w:cstheme="minorHAnsi"/>
          <w:b/>
          <w:sz w:val="24"/>
          <w:szCs w:val="24"/>
          <w:lang w:val="en-CA"/>
        </w:rPr>
        <w:t>: stomatal conductance to water; g</w:t>
      </w:r>
      <w:r>
        <w:rPr>
          <w:rFonts w:eastAsiaTheme="minorEastAsia" w:cstheme="minorHAnsi"/>
          <w:b/>
          <w:sz w:val="24"/>
          <w:szCs w:val="24"/>
          <w:vertAlign w:val="subscript"/>
          <w:lang w:val="en-CA"/>
        </w:rPr>
        <w:t>o</w:t>
      </w:r>
      <w:r>
        <w:rPr>
          <w:rFonts w:eastAsiaTheme="minorEastAsia" w:cstheme="minorHAnsi"/>
          <w:b/>
          <w:sz w:val="24"/>
          <w:szCs w:val="24"/>
          <w:lang w:val="en-CA"/>
        </w:rPr>
        <w:t xml:space="preserve">: intercept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g</w:t>
      </w:r>
      <w:r>
        <w:rPr>
          <w:rFonts w:eastAsiaTheme="minorEastAsia" w:cstheme="minorHAnsi"/>
          <w:b/>
          <w:sz w:val="24"/>
          <w:szCs w:val="24"/>
          <w:vertAlign w:val="subscript"/>
          <w:lang w:val="en-CA"/>
        </w:rPr>
        <w:t>1</w:t>
      </w:r>
      <w:r>
        <w:rPr>
          <w:rFonts w:eastAsiaTheme="minorEastAsia" w:cstheme="minorHAnsi"/>
          <w:b/>
          <w:sz w:val="24"/>
          <w:szCs w:val="24"/>
          <w:lang w:val="en-CA"/>
        </w:rPr>
        <w:t xml:space="preserve">: slope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VPD: vapor pressure deficit; C</w:t>
      </w:r>
      <w:r>
        <w:rPr>
          <w:rFonts w:eastAsiaTheme="minorEastAsia" w:cstheme="minorHAnsi"/>
          <w:b/>
          <w:sz w:val="24"/>
          <w:szCs w:val="24"/>
          <w:vertAlign w:val="subscript"/>
          <w:lang w:val="en-CA"/>
        </w:rPr>
        <w:t>a</w:t>
      </w:r>
      <w:r>
        <w:rPr>
          <w:rFonts w:eastAsiaTheme="minorEastAsia" w:cstheme="minorHAnsi"/>
          <w:b/>
          <w:sz w:val="24"/>
          <w:szCs w:val="24"/>
          <w:lang w:val="en-CA"/>
        </w:rPr>
        <w: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at the leaf surface;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plant</w:t>
      </w:r>
      <w:proofErr w:type="spellEnd"/>
      <w:r>
        <w:rPr>
          <w:rFonts w:eastAsiaTheme="minorEastAsia" w:cstheme="minorHAnsi"/>
          <w:b/>
          <w:sz w:val="24"/>
          <w:szCs w:val="24"/>
          <w:lang w:val="en-CA"/>
        </w:rPr>
        <w:t>: whole plant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LA: leaf area;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stem</w:t>
      </w:r>
      <w:proofErr w:type="spellEnd"/>
      <w:r>
        <w:rPr>
          <w:rFonts w:eastAsiaTheme="minorEastAsia" w:cstheme="minorHAnsi"/>
          <w:b/>
          <w:sz w:val="24"/>
          <w:szCs w:val="24"/>
          <w:lang w:val="en-CA"/>
        </w:rPr>
        <w:t xml:space="preserve">: stem respiration;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root</w:t>
      </w:r>
      <w:proofErr w:type="spellEnd"/>
      <w:r>
        <w:rPr>
          <w:rFonts w:eastAsiaTheme="minorEastAsia" w:cstheme="minorHAnsi"/>
          <w:b/>
          <w:sz w:val="24"/>
          <w:szCs w:val="24"/>
          <w:lang w:val="en-CA"/>
        </w:rPr>
        <w:t xml:space="preserve">; root respiration; SM: stem mass; RM: root mass; </w:t>
      </w:r>
      <w:proofErr w:type="spellStart"/>
      <w:r>
        <w:rPr>
          <w:rFonts w:eastAsiaTheme="minorEastAsia" w:cstheme="minorHAnsi"/>
          <w:b/>
          <w:sz w:val="24"/>
          <w:szCs w:val="24"/>
          <w:lang w:val="en-CA"/>
        </w:rPr>
        <w:t>C</w:t>
      </w:r>
      <w:r>
        <w:rPr>
          <w:rFonts w:eastAsiaTheme="minorEastAsia" w:cstheme="minorHAnsi"/>
          <w:b/>
          <w:sz w:val="24"/>
          <w:szCs w:val="24"/>
          <w:vertAlign w:val="subscript"/>
          <w:lang w:val="en-CA"/>
        </w:rPr>
        <w:t>balance</w:t>
      </w:r>
      <w:proofErr w:type="spellEnd"/>
      <w:r>
        <w:rPr>
          <w:rFonts w:eastAsiaTheme="minorEastAsia" w:cstheme="minorHAnsi"/>
          <w:b/>
          <w:sz w:val="24"/>
          <w:szCs w:val="24"/>
          <w:lang w:val="en-CA"/>
        </w:rPr>
        <w:t>: whole plant daily carbon balance.</w:t>
      </w:r>
    </w:p>
    <w:p w14:paraId="6D47EB60" w14:textId="3C5A1ECC" w:rsidR="003811C5" w:rsidRDefault="003811C5" w:rsidP="002B0AA8">
      <w:pPr>
        <w:spacing w:after="0" w:line="360" w:lineRule="auto"/>
        <w:rPr>
          <w:rFonts w:eastAsiaTheme="minorEastAsia" w:cstheme="minorHAnsi"/>
          <w:sz w:val="24"/>
          <w:szCs w:val="24"/>
          <w:lang w:val="en-CA"/>
        </w:rPr>
      </w:pPr>
    </w:p>
    <w:p w14:paraId="685C3D1E" w14:textId="346EBB40" w:rsidR="003811C5" w:rsidRDefault="003811C5"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Modeling was performed on </w:t>
      </w:r>
      <w:r w:rsidR="001E4502">
        <w:rPr>
          <w:rFonts w:eastAsiaTheme="minorEastAsia" w:cstheme="minorHAnsi"/>
          <w:sz w:val="24"/>
          <w:szCs w:val="24"/>
          <w:lang w:val="en-CA"/>
        </w:rPr>
        <w:t>18</w:t>
      </w:r>
      <w:r>
        <w:rPr>
          <w:rFonts w:eastAsiaTheme="minorEastAsia" w:cstheme="minorHAnsi"/>
          <w:sz w:val="24"/>
          <w:szCs w:val="24"/>
          <w:lang w:val="en-CA"/>
        </w:rPr>
        <w:t xml:space="preserve"> total days of environmental data, with three days of data</w:t>
      </w:r>
      <w:r w:rsidR="001E4502">
        <w:rPr>
          <w:rFonts w:eastAsiaTheme="minorEastAsia" w:cstheme="minorHAnsi"/>
          <w:sz w:val="24"/>
          <w:szCs w:val="24"/>
          <w:lang w:val="en-CA"/>
        </w:rPr>
        <w:t xml:space="preserve"> from three months (17</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 19</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of May, August, and October, 2019)</w:t>
      </w:r>
      <w:r>
        <w:rPr>
          <w:rFonts w:eastAsiaTheme="minorEastAsia" w:cstheme="minorHAnsi"/>
          <w:sz w:val="24"/>
          <w:szCs w:val="24"/>
          <w:lang w:val="en-CA"/>
        </w:rPr>
        <w:t xml:space="preserve"> obtained from</w:t>
      </w:r>
      <w:r w:rsidR="009C07E6">
        <w:rPr>
          <w:rFonts w:eastAsiaTheme="minorEastAsia" w:cstheme="minorHAnsi"/>
          <w:sz w:val="24"/>
          <w:szCs w:val="24"/>
          <w:lang w:val="en-CA"/>
        </w:rPr>
        <w:t xml:space="preserve"> external sensors at</w:t>
      </w:r>
      <w:r>
        <w:rPr>
          <w:rFonts w:eastAsiaTheme="minorEastAsia" w:cstheme="minorHAnsi"/>
          <w:sz w:val="24"/>
          <w:szCs w:val="24"/>
          <w:lang w:val="en-CA"/>
        </w:rPr>
        <w:t xml:space="preserve"> the </w:t>
      </w:r>
      <w:proofErr w:type="spellStart"/>
      <w:r w:rsidR="00A9251D">
        <w:rPr>
          <w:rFonts w:eastAsiaTheme="minorEastAsia" w:cstheme="minorHAnsi"/>
          <w:sz w:val="24"/>
          <w:szCs w:val="24"/>
          <w:lang w:val="en-CA"/>
        </w:rPr>
        <w:t>Biotron</w:t>
      </w:r>
      <w:proofErr w:type="spellEnd"/>
      <w:r w:rsidR="00A9251D">
        <w:rPr>
          <w:rFonts w:eastAsiaTheme="minorEastAsia" w:cstheme="minorHAnsi"/>
          <w:sz w:val="24"/>
          <w:szCs w:val="24"/>
          <w:lang w:val="en-CA"/>
        </w:rPr>
        <w:t xml:space="preserve"> Experimental Climate Change Research Centre at the University of Western Ontario (43.01°N, 81.27°W, altitude: 251 m)</w:t>
      </w:r>
      <w:r>
        <w:rPr>
          <w:rFonts w:eastAsiaTheme="minorEastAsia" w:cstheme="minorHAnsi"/>
          <w:sz w:val="24"/>
          <w:szCs w:val="24"/>
          <w:lang w:val="en-CA"/>
        </w:rPr>
        <w:t xml:space="preserve"> and</w:t>
      </w:r>
      <w:r w:rsidR="001E4502">
        <w:rPr>
          <w:rFonts w:eastAsiaTheme="minorEastAsia" w:cstheme="minorHAnsi"/>
          <w:sz w:val="24"/>
          <w:szCs w:val="24"/>
          <w:lang w:val="en-CA"/>
        </w:rPr>
        <w:t xml:space="preserve"> the</w:t>
      </w:r>
      <w:r>
        <w:rPr>
          <w:rFonts w:eastAsiaTheme="minorEastAsia" w:cstheme="minorHAnsi"/>
          <w:sz w:val="24"/>
          <w:szCs w:val="24"/>
          <w:lang w:val="en-CA"/>
        </w:rPr>
        <w:t xml:space="preserve"> </w:t>
      </w:r>
      <w:r w:rsidR="00A9251D">
        <w:rPr>
          <w:rFonts w:eastAsiaTheme="minorEastAsia" w:cstheme="minorHAnsi"/>
          <w:sz w:val="24"/>
          <w:szCs w:val="24"/>
          <w:lang w:val="en-CA"/>
        </w:rPr>
        <w:t>rooftop greenhouse at the University of New Mexico (35.08°N, 106.62°W, altitude: 1587 m)</w:t>
      </w:r>
      <w:r>
        <w:rPr>
          <w:rFonts w:eastAsiaTheme="minorEastAsia" w:cstheme="minorHAnsi"/>
          <w:sz w:val="24"/>
          <w:szCs w:val="24"/>
          <w:lang w:val="en-CA"/>
        </w:rPr>
        <w:t xml:space="preserve"> </w:t>
      </w:r>
      <w:r w:rsidR="00AF4DB0">
        <w:rPr>
          <w:rFonts w:eastAsiaTheme="minorEastAsia" w:cstheme="minorHAnsi"/>
          <w:sz w:val="24"/>
          <w:szCs w:val="24"/>
          <w:lang w:val="en-CA"/>
        </w:rPr>
        <w:t>to capture different levels of environmental variability</w:t>
      </w:r>
      <w:r w:rsidR="00C87C44">
        <w:rPr>
          <w:rFonts w:eastAsiaTheme="minorEastAsia" w:cstheme="minorHAnsi"/>
          <w:sz w:val="24"/>
          <w:szCs w:val="24"/>
          <w:lang w:val="en-CA"/>
        </w:rPr>
        <w:t xml:space="preserve"> (Fig. 1)</w:t>
      </w:r>
      <w:r w:rsidR="00AF4DB0">
        <w:rPr>
          <w:rFonts w:eastAsiaTheme="minorEastAsia" w:cstheme="minorHAnsi"/>
          <w:sz w:val="24"/>
          <w:szCs w:val="24"/>
          <w:lang w:val="en-CA"/>
        </w:rPr>
        <w:t>.</w:t>
      </w:r>
    </w:p>
    <w:p w14:paraId="171255FA" w14:textId="1F3C9E4E" w:rsidR="00C87C44" w:rsidRDefault="00C87C44" w:rsidP="002B0AA8">
      <w:pPr>
        <w:spacing w:after="0" w:line="360" w:lineRule="auto"/>
        <w:rPr>
          <w:rFonts w:eastAsiaTheme="minorEastAsia" w:cstheme="minorHAnsi"/>
          <w:sz w:val="24"/>
          <w:szCs w:val="24"/>
          <w:lang w:val="en-CA"/>
        </w:rPr>
      </w:pPr>
    </w:p>
    <w:p w14:paraId="7391E54F" w14:textId="2203535A" w:rsidR="00C87C44" w:rsidRPr="00BF49EF" w:rsidRDefault="00C87C44" w:rsidP="002B0AA8">
      <w:pPr>
        <w:spacing w:after="0" w:line="360" w:lineRule="auto"/>
        <w:rPr>
          <w:rFonts w:eastAsiaTheme="minorEastAsia" w:cstheme="minorHAnsi"/>
          <w:b/>
          <w:sz w:val="24"/>
          <w:szCs w:val="24"/>
          <w:lang w:val="en-CA"/>
        </w:rPr>
      </w:pPr>
      <w:commentRangeStart w:id="6"/>
      <w:r>
        <w:rPr>
          <w:rFonts w:eastAsiaTheme="minorEastAsia" w:cstheme="minorHAnsi"/>
          <w:b/>
          <w:sz w:val="24"/>
          <w:szCs w:val="24"/>
          <w:lang w:val="en-CA"/>
        </w:rPr>
        <w:t>Figure 1. Environmental data used to drive the model in Table 1. (a) Albuquerque, NM, USA; (b) London, ON, Canada.</w:t>
      </w:r>
      <w:commentRangeEnd w:id="6"/>
      <w:r>
        <w:rPr>
          <w:rStyle w:val="CommentReference"/>
        </w:rPr>
        <w:commentReference w:id="6"/>
      </w:r>
    </w:p>
    <w:p w14:paraId="1DFB1341" w14:textId="471DED81" w:rsidR="001E4502" w:rsidRDefault="001E4502" w:rsidP="002B0AA8">
      <w:pPr>
        <w:spacing w:after="0" w:line="360" w:lineRule="auto"/>
        <w:rPr>
          <w:rFonts w:eastAsiaTheme="minorEastAsia" w:cstheme="minorHAnsi"/>
          <w:sz w:val="24"/>
          <w:szCs w:val="24"/>
          <w:lang w:val="en-CA"/>
        </w:rPr>
      </w:pPr>
    </w:p>
    <w:p w14:paraId="7F833DEB" w14:textId="39010EDC" w:rsidR="004A501D" w:rsidRDefault="001E4502" w:rsidP="002B0AA8">
      <w:pPr>
        <w:spacing w:after="0" w:line="360" w:lineRule="auto"/>
        <w:rPr>
          <w:rFonts w:eastAsiaTheme="minorEastAsia" w:cstheme="minorHAnsi"/>
          <w:sz w:val="24"/>
          <w:szCs w:val="24"/>
          <w:lang w:val="en-CA"/>
        </w:rPr>
      </w:pPr>
      <w:r>
        <w:rPr>
          <w:rFonts w:eastAsiaTheme="minorEastAsia" w:cstheme="minorHAnsi"/>
          <w:sz w:val="24"/>
          <w:szCs w:val="24"/>
          <w:lang w:val="en-CA"/>
        </w:rPr>
        <w:t>Overall, the modeling approach allows us to assess the relative differences of Equations 3 and 10 under a low- and high- respiration scenario,</w:t>
      </w:r>
      <w:r w:rsidR="00FC08D6">
        <w:rPr>
          <w:rFonts w:eastAsiaTheme="minorEastAsia" w:cstheme="minorHAnsi"/>
          <w:sz w:val="24"/>
          <w:szCs w:val="24"/>
          <w:lang w:val="en-CA"/>
        </w:rPr>
        <w:t xml:space="preserve"> fixing versus fitting </w:t>
      </w:r>
      <w:proofErr w:type="spellStart"/>
      <w:r w:rsidR="00FC08D6">
        <w:rPr>
          <w:rFonts w:eastAsiaTheme="minorEastAsia" w:cstheme="minorHAnsi"/>
          <w:sz w:val="24"/>
          <w:szCs w:val="24"/>
          <w:lang w:val="en-CA"/>
        </w:rPr>
        <w:t>H</w:t>
      </w:r>
      <w:r w:rsidR="00FC08D6">
        <w:rPr>
          <w:rFonts w:eastAsiaTheme="minorEastAsia" w:cstheme="minorHAnsi"/>
          <w:sz w:val="24"/>
          <w:szCs w:val="24"/>
          <w:vertAlign w:val="subscript"/>
          <w:lang w:val="en-CA"/>
        </w:rPr>
        <w:t>d</w:t>
      </w:r>
      <w:proofErr w:type="spellEnd"/>
      <w:r w:rsidR="00FC08D6">
        <w:rPr>
          <w:rFonts w:eastAsiaTheme="minorEastAsia" w:cstheme="minorHAnsi"/>
          <w:sz w:val="24"/>
          <w:szCs w:val="24"/>
          <w:lang w:val="en-CA"/>
        </w:rPr>
        <w:t>,</w:t>
      </w:r>
      <w:r>
        <w:rPr>
          <w:rFonts w:eastAsiaTheme="minorEastAsia" w:cstheme="minorHAnsi"/>
          <w:sz w:val="24"/>
          <w:szCs w:val="24"/>
          <w:lang w:val="en-CA"/>
        </w:rPr>
        <w:t xml:space="preserve"> </w:t>
      </w:r>
      <w:r w:rsidR="00FC08D6">
        <w:rPr>
          <w:rFonts w:eastAsiaTheme="minorEastAsia" w:cstheme="minorHAnsi"/>
          <w:sz w:val="24"/>
          <w:szCs w:val="24"/>
          <w:lang w:val="en-CA"/>
        </w:rPr>
        <w:t>and</w:t>
      </w:r>
      <w:r>
        <w:rPr>
          <w:rFonts w:eastAsiaTheme="minorEastAsia" w:cstheme="minorHAnsi"/>
          <w:sz w:val="24"/>
          <w:szCs w:val="24"/>
          <w:lang w:val="en-CA"/>
        </w:rPr>
        <w:t xml:space="preserve"> across different ranges of seasonal variability.</w:t>
      </w:r>
    </w:p>
    <w:p w14:paraId="78A3F266" w14:textId="77777777" w:rsidR="00CB3198" w:rsidRPr="005C3801" w:rsidRDefault="00CB3198" w:rsidP="002B0AA8">
      <w:pPr>
        <w:spacing w:after="0" w:line="360" w:lineRule="auto"/>
        <w:rPr>
          <w:rFonts w:eastAsiaTheme="minorEastAsia" w:cstheme="minorHAnsi"/>
          <w:sz w:val="24"/>
          <w:szCs w:val="24"/>
          <w:lang w:val="en-CA"/>
        </w:rPr>
      </w:pPr>
    </w:p>
    <w:p w14:paraId="189D3F92" w14:textId="717FD205" w:rsidR="004A501D" w:rsidRPr="00615D1B" w:rsidRDefault="004A501D" w:rsidP="002B0AA8">
      <w:pPr>
        <w:spacing w:after="0" w:line="360" w:lineRule="auto"/>
        <w:rPr>
          <w:rFonts w:eastAsiaTheme="minorEastAsia" w:cstheme="minorHAnsi"/>
          <w:sz w:val="24"/>
          <w:szCs w:val="24"/>
          <w:u w:val="single"/>
          <w:lang w:val="en-CA"/>
        </w:rPr>
      </w:pPr>
      <w:commentRangeStart w:id="7"/>
      <w:r w:rsidRPr="00615D1B">
        <w:rPr>
          <w:rFonts w:eastAsiaTheme="minorEastAsia" w:cstheme="minorHAnsi"/>
          <w:b/>
          <w:sz w:val="24"/>
          <w:szCs w:val="24"/>
          <w:u w:val="single"/>
          <w:lang w:val="en-CA"/>
        </w:rPr>
        <w:t>Results</w:t>
      </w:r>
      <w:commentRangeEnd w:id="7"/>
      <w:r w:rsidR="0004126A">
        <w:rPr>
          <w:rStyle w:val="CommentReference"/>
        </w:rPr>
        <w:commentReference w:id="7"/>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0D9938F8" w:rsidR="00615D1B"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lastRenderedPageBreak/>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r w:rsidR="00615D1B">
        <w:rPr>
          <w:rFonts w:eastAsiaTheme="minorEastAsia" w:cstheme="minorHAnsi"/>
          <w:sz w:val="24"/>
          <w:szCs w:val="24"/>
          <w:lang w:val="en-CA"/>
        </w:rPr>
        <w:br w:type="page"/>
      </w:r>
    </w:p>
    <w:p w14:paraId="1193E826" w14:textId="77777777" w:rsidR="00615D1B" w:rsidRPr="005C3801" w:rsidRDefault="00615D1B" w:rsidP="00615D1B">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lastRenderedPageBreak/>
        <w:drawing>
          <wp:inline distT="0" distB="0" distL="0" distR="0" wp14:anchorId="0F3336F1" wp14:editId="1624B8C3">
            <wp:extent cx="3204210" cy="640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5751" cy="6411501"/>
                    </a:xfrm>
                    <a:prstGeom prst="rect">
                      <a:avLst/>
                    </a:prstGeom>
                  </pic:spPr>
                </pic:pic>
              </a:graphicData>
            </a:graphic>
          </wp:inline>
        </w:drawing>
      </w:r>
    </w:p>
    <w:p w14:paraId="723DA602"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1 – The modified Arrhenius equation with the missing term (Equation 10) gives </w:t>
      </w:r>
    </w:p>
    <w:p w14:paraId="4216A15F"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similar temperature response parameters as Equation 3 for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(a-d) and ΔS (e-h)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f)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g, h)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is allowed to vary (a, c, e, g)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f, h). “New” indicates Equation 10, “Old” indicates Equation 3.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activation energy, ΔS: entropy parameter,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maximum rate of electron transport. Blue line indicates 1:1 line.</w:t>
      </w:r>
    </w:p>
    <w:p w14:paraId="7939A315" w14:textId="77777777" w:rsidR="00615D1B" w:rsidRPr="005C3801" w:rsidRDefault="00615D1B" w:rsidP="00615D1B">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Pr="005C3801">
        <w:rPr>
          <w:rFonts w:eastAsiaTheme="minorEastAsia" w:cstheme="minorHAnsi"/>
          <w:noProof/>
          <w:sz w:val="24"/>
          <w:szCs w:val="24"/>
          <w:lang w:val="de-DE" w:eastAsia="de-DE"/>
        </w:rPr>
        <w:drawing>
          <wp:inline distT="0" distB="0" distL="0" distR="0" wp14:anchorId="44EE59AD" wp14:editId="4CEFBB6A">
            <wp:extent cx="5021580" cy="66954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1580" cy="6695440"/>
                    </a:xfrm>
                    <a:prstGeom prst="rect">
                      <a:avLst/>
                    </a:prstGeom>
                  </pic:spPr>
                </pic:pic>
              </a:graphicData>
            </a:graphic>
          </wp:inline>
        </w:drawing>
      </w:r>
    </w:p>
    <w:p w14:paraId="33325A36"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2 – The modified Arrhenius equation with the missing term (Equation 10) gives </w:t>
      </w:r>
    </w:p>
    <w:p w14:paraId="2DEE979B" w14:textId="6BFBF699" w:rsid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similar temperature response parameters as Equation 3 for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(a-d) and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(e, f)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f)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w:t>
      </w:r>
      <w:proofErr w:type="gramStart"/>
      <w:r w:rsidRPr="00615D1B">
        <w:rPr>
          <w:rFonts w:eastAsiaTheme="minorEastAsia" w:cstheme="minorHAnsi"/>
          <w:b/>
          <w:sz w:val="24"/>
          <w:szCs w:val="24"/>
          <w:lang w:val="en-CA"/>
        </w:rPr>
        <w:t>is allowed to</w:t>
      </w:r>
      <w:proofErr w:type="gramEnd"/>
      <w:r w:rsidRPr="00615D1B">
        <w:rPr>
          <w:rFonts w:eastAsiaTheme="minorEastAsia" w:cstheme="minorHAnsi"/>
          <w:b/>
          <w:sz w:val="24"/>
          <w:szCs w:val="24"/>
          <w:lang w:val="en-CA"/>
        </w:rPr>
        <w:t xml:space="preserve"> vary (a, c, e, f)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“New” indicates Equation10, “Old” indicates Equation 3.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rate of the process at 25 °C,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maximum rate of electron transport. Blue line indicates 1:1 line.</w:t>
      </w:r>
      <w:r>
        <w:rPr>
          <w:rFonts w:eastAsiaTheme="minorEastAsia" w:cstheme="minorHAnsi"/>
          <w:b/>
          <w:sz w:val="24"/>
          <w:szCs w:val="24"/>
          <w:lang w:val="en-CA"/>
        </w:rPr>
        <w:br w:type="page"/>
      </w: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lastRenderedPageBreak/>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rFonts w:eastAsiaTheme="minorEastAsia" w:cstheme="minorHAnsi"/>
          <w:sz w:val="24"/>
          <w:szCs w:val="24"/>
          <w:lang w:val="en-CA"/>
        </w:rPr>
      </w:pPr>
    </w:p>
    <w:p w14:paraId="36FF3485" w14:textId="42DB6D2E" w:rsidR="005D14D6" w:rsidRDefault="005D14D6" w:rsidP="002B0AA8">
      <w:pPr>
        <w:spacing w:after="0" w:line="360" w:lineRule="auto"/>
        <w:rPr>
          <w:rFonts w:eastAsiaTheme="minorEastAsia" w:cstheme="minorHAnsi"/>
          <w:sz w:val="24"/>
          <w:szCs w:val="24"/>
          <w:lang w:val="en-CA"/>
        </w:rPr>
      </w:pPr>
      <w:commentRangeStart w:id="8"/>
      <w:r>
        <w:rPr>
          <w:rFonts w:eastAsiaTheme="minorEastAsia" w:cstheme="minorHAnsi"/>
          <w:i/>
          <w:sz w:val="24"/>
          <w:szCs w:val="24"/>
          <w:lang w:val="en-CA"/>
        </w:rPr>
        <w:t>Impacts on modelled net carbon balance</w:t>
      </w:r>
      <w:commentRangeEnd w:id="8"/>
      <w:r w:rsidR="00AA2269">
        <w:rPr>
          <w:rStyle w:val="CommentReference"/>
        </w:rPr>
        <w:commentReference w:id="8"/>
      </w:r>
    </w:p>
    <w:p w14:paraId="22FFD6BA" w14:textId="334FEFBF" w:rsidR="005D14D6" w:rsidRPr="005D14D6" w:rsidRDefault="000C5E11" w:rsidP="002B0AA8">
      <w:pPr>
        <w:spacing w:after="0" w:line="360" w:lineRule="auto"/>
        <w:rPr>
          <w:rFonts w:eastAsiaTheme="minorEastAsia" w:cstheme="minorHAnsi"/>
          <w:sz w:val="24"/>
          <w:szCs w:val="24"/>
          <w:lang w:val="en-CA"/>
        </w:rPr>
      </w:pPr>
      <w:r>
        <w:rPr>
          <w:rFonts w:eastAsiaTheme="minorEastAsia" w:cstheme="minorHAnsi"/>
          <w:sz w:val="24"/>
          <w:szCs w:val="24"/>
          <w:lang w:val="en-CA"/>
        </w:rPr>
        <w:t>In general, the differences in thermal response parameters led to very minor impacts on daily carbon balance.</w:t>
      </w:r>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615D1B" w:rsidRDefault="0093486B" w:rsidP="002B0AA8">
      <w:pPr>
        <w:spacing w:after="0" w:line="360" w:lineRule="auto"/>
        <w:rPr>
          <w:rFonts w:eastAsiaTheme="minorEastAsia" w:cstheme="minorHAnsi"/>
          <w:b/>
          <w:sz w:val="24"/>
          <w:szCs w:val="24"/>
          <w:u w:val="single"/>
          <w:lang w:val="en-CA"/>
        </w:rPr>
      </w:pPr>
      <w:commentRangeStart w:id="9"/>
      <w:r w:rsidRPr="00615D1B">
        <w:rPr>
          <w:rFonts w:eastAsiaTheme="minorEastAsia" w:cstheme="minorHAnsi"/>
          <w:b/>
          <w:sz w:val="24"/>
          <w:szCs w:val="24"/>
          <w:u w:val="single"/>
        </w:rPr>
        <w:t>Discussion</w:t>
      </w:r>
      <w:commentRangeEnd w:id="9"/>
      <w:r w:rsidR="00FC08D6" w:rsidRPr="00615D1B">
        <w:rPr>
          <w:rStyle w:val="CommentReference"/>
          <w:u w:val="single"/>
        </w:rPr>
        <w:commentReference w:id="9"/>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w:t>
      </w:r>
      <w:r w:rsidR="00247F8E" w:rsidRPr="005C3801">
        <w:rPr>
          <w:rFonts w:eastAsiaTheme="minorEastAsia" w:cstheme="minorHAnsi"/>
          <w:sz w:val="24"/>
          <w:szCs w:val="24"/>
        </w:rPr>
        <w:lastRenderedPageBreak/>
        <w:t xml:space="preserve">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bookmarkStart w:id="10" w:name="_GoBack"/>
      <w:bookmarkEnd w:id="10"/>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615D1B" w:rsidRDefault="006E15F2"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Acknowledgments</w:t>
      </w:r>
    </w:p>
    <w:p w14:paraId="4580263A" w14:textId="61622B99" w:rsidR="006E15F2" w:rsidRPr="005C3801" w:rsidRDefault="00DB6062" w:rsidP="002B0AA8">
      <w:pPr>
        <w:spacing w:after="0" w:line="360" w:lineRule="auto"/>
        <w:rPr>
          <w:rFonts w:eastAsiaTheme="minorEastAsia" w:cstheme="minorHAnsi"/>
          <w:sz w:val="24"/>
          <w:szCs w:val="24"/>
          <w:lang w:val="en-CA"/>
        </w:rPr>
      </w:pPr>
      <w:r>
        <w:rPr>
          <w:rFonts w:eastAsiaTheme="minorEastAsia" w:cstheme="minorHAnsi"/>
          <w:sz w:val="24"/>
          <w:szCs w:val="24"/>
          <w:lang w:val="en-CA"/>
        </w:rPr>
        <w:t>We would like to thank Wesley J. Noe at the University of New Mexico for providing climate data.</w:t>
      </w:r>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615D1B" w:rsidRDefault="00824E08"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lastRenderedPageBreak/>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w:t>
      </w:r>
      <w:r w:rsidRPr="005C3801">
        <w:rPr>
          <w:rFonts w:eastAsiaTheme="minorEastAsia" w:cstheme="minorHAnsi"/>
          <w:sz w:val="24"/>
          <w:szCs w:val="24"/>
          <w:lang w:val="en-CA"/>
        </w:rPr>
        <w:lastRenderedPageBreak/>
        <w:t>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77777777" w:rsidR="009C7884" w:rsidRPr="005C3801" w:rsidRDefault="009C7884">
      <w:pPr>
        <w:rPr>
          <w:rFonts w:eastAsiaTheme="minorEastAsia" w:cstheme="minorHAnsi"/>
          <w:b/>
          <w:sz w:val="24"/>
          <w:szCs w:val="24"/>
          <w:lang w:val="en-CA"/>
        </w:rPr>
      </w:pPr>
      <w:r w:rsidRPr="005C3801">
        <w:rPr>
          <w:rFonts w:eastAsiaTheme="minorEastAsia" w:cstheme="minorHAnsi"/>
          <w:b/>
          <w:sz w:val="24"/>
          <w:szCs w:val="24"/>
          <w:lang w:val="en-CA"/>
        </w:rPr>
        <w:br w:type="page"/>
      </w:r>
    </w:p>
    <w:p w14:paraId="7E700A75"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Figures</w:t>
      </w:r>
    </w:p>
    <w:p w14:paraId="19EB2EFE" w14:textId="77777777" w:rsidR="00016E46" w:rsidRPr="005C3801" w:rsidRDefault="00016E46" w:rsidP="002B0AA8">
      <w:pPr>
        <w:spacing w:after="0" w:line="360" w:lineRule="auto"/>
        <w:rPr>
          <w:rFonts w:eastAsiaTheme="minorEastAsia" w:cstheme="minorHAnsi"/>
          <w:sz w:val="24"/>
          <w:szCs w:val="24"/>
          <w:lang w:val="en-CA"/>
        </w:rPr>
      </w:pPr>
    </w:p>
    <w:sectPr w:rsidR="00016E46" w:rsidRPr="005C3801" w:rsidSect="00615D1B">
      <w:footerReference w:type="default" r:id="rId13"/>
      <w:footerReference w:type="first" r:id="rId14"/>
      <w:pgSz w:w="12240" w:h="15840" w:code="1"/>
      <w:pgMar w:top="1134" w:right="1134" w:bottom="1134" w:left="1134"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Stinziano" w:date="2020-01-09T09:37:00Z" w:initials="JS">
    <w:p w14:paraId="1493CED5" w14:textId="5D251B2E" w:rsidR="00BF49EF" w:rsidRDefault="00BF49EF">
      <w:pPr>
        <w:pStyle w:val="CommentText"/>
      </w:pPr>
      <w:r>
        <w:rPr>
          <w:rStyle w:val="CommentReference"/>
        </w:rPr>
        <w:annotationRef/>
      </w:r>
      <w:r>
        <w:t>Target Journal: GCB</w:t>
      </w:r>
    </w:p>
  </w:comment>
  <w:comment w:id="1" w:author="Joseph Stinziano" w:date="2020-01-09T09:39:00Z" w:initials="JS">
    <w:p w14:paraId="613AED80" w14:textId="62210644" w:rsidR="00BF49EF" w:rsidRDefault="00BF49EF">
      <w:pPr>
        <w:pStyle w:val="CommentText"/>
      </w:pPr>
      <w:r>
        <w:rPr>
          <w:rStyle w:val="CommentReference"/>
        </w:rPr>
        <w:annotationRef/>
      </w:r>
      <w:r>
        <w:t>300 words max</w:t>
      </w:r>
    </w:p>
  </w:comment>
  <w:comment w:id="2" w:author="Joseph Stinziano" w:date="2020-01-09T09:39:00Z" w:initials="JS">
    <w:p w14:paraId="2D85D8A8" w14:textId="3F080898" w:rsidR="00BF49EF" w:rsidRDefault="00BF49EF">
      <w:pPr>
        <w:pStyle w:val="CommentText"/>
      </w:pPr>
      <w:r>
        <w:rPr>
          <w:rStyle w:val="CommentReference"/>
        </w:rPr>
        <w:annotationRef/>
      </w:r>
      <w:r>
        <w:t>6 to 10</w:t>
      </w:r>
    </w:p>
  </w:comment>
  <w:comment w:id="4" w:author="Joseph Stinziano" w:date="2020-01-07T14:15:00Z" w:initials="JS">
    <w:p w14:paraId="0BDFE5A7" w14:textId="008C26B7" w:rsidR="00BF49EF" w:rsidRDefault="00BF49EF">
      <w:pPr>
        <w:pStyle w:val="CommentText"/>
      </w:pPr>
      <w:r>
        <w:rPr>
          <w:rStyle w:val="CommentReference"/>
        </w:rPr>
        <w:annotationRef/>
      </w:r>
      <w:r>
        <w:t>Perhaps put all equations into a table to make it easier on the reader</w:t>
      </w:r>
    </w:p>
  </w:comment>
  <w:comment w:id="5" w:author="Joseph Stinziano" w:date="2020-01-09T11:59:00Z" w:initials="JS">
    <w:p w14:paraId="1E21BB02" w14:textId="6C724E1C" w:rsidR="00BF49EF" w:rsidRDefault="00BF49EF">
      <w:pPr>
        <w:pStyle w:val="CommentText"/>
      </w:pPr>
      <w:r>
        <w:rPr>
          <w:rStyle w:val="CommentReference"/>
        </w:rPr>
        <w:annotationRef/>
      </w:r>
      <w:r>
        <w:t>this needs to specify day and night resp; need daily totals here.</w:t>
      </w:r>
    </w:p>
  </w:comment>
  <w:comment w:id="6" w:author="Joseph Stinziano" w:date="2020-01-09T12:03:00Z" w:initials="JS">
    <w:p w14:paraId="04554010" w14:textId="1DC927DF" w:rsidR="00BF49EF" w:rsidRDefault="00BF49EF">
      <w:pPr>
        <w:pStyle w:val="CommentText"/>
      </w:pPr>
      <w:r>
        <w:rPr>
          <w:rStyle w:val="CommentReference"/>
        </w:rPr>
        <w:annotationRef/>
      </w:r>
      <w:r>
        <w:t>Need environmental data figure</w:t>
      </w:r>
    </w:p>
  </w:comment>
  <w:comment w:id="7" w:author="Joseph Stinziano" w:date="2020-01-09T09:40:00Z" w:initials="JS">
    <w:p w14:paraId="463CA36C" w14:textId="60842A39" w:rsidR="00BF49EF" w:rsidRDefault="00BF49EF">
      <w:pPr>
        <w:pStyle w:val="CommentText"/>
      </w:pPr>
      <w:r>
        <w:rPr>
          <w:rStyle w:val="CommentReference"/>
        </w:rPr>
        <w:annotationRef/>
      </w:r>
      <w:r>
        <w:t>Figures needed:</w:t>
      </w:r>
      <w:r>
        <w:br/>
        <w:t>Environmental Data</w:t>
      </w:r>
      <w:r>
        <w:br/>
        <w:t xml:space="preserve">Daily Carbon </w:t>
      </w:r>
      <w:proofErr w:type="spellStart"/>
      <w:r>
        <w:t>Medlyn</w:t>
      </w:r>
      <w:proofErr w:type="spellEnd"/>
      <w:r>
        <w:t xml:space="preserve"> VS NEW</w:t>
      </w:r>
      <w:r>
        <w:br/>
        <w:t xml:space="preserve">Daily Photosynthesis </w:t>
      </w:r>
      <w:proofErr w:type="spellStart"/>
      <w:r>
        <w:t>Medlyn</w:t>
      </w:r>
      <w:proofErr w:type="spellEnd"/>
      <w:r>
        <w:t xml:space="preserve"> VS NEW</w:t>
      </w:r>
      <w:r>
        <w:br/>
        <w:t xml:space="preserve">Daily A/R </w:t>
      </w:r>
      <w:proofErr w:type="spellStart"/>
      <w:r>
        <w:t>Medlyn</w:t>
      </w:r>
      <w:proofErr w:type="spellEnd"/>
      <w:r>
        <w:t xml:space="preserve"> VS NEW</w:t>
      </w:r>
    </w:p>
  </w:comment>
  <w:comment w:id="8" w:author="Joseph Stinziano" w:date="2020-01-06T14:53:00Z" w:initials="JS">
    <w:p w14:paraId="42B06FD2" w14:textId="5F01AE13" w:rsidR="00BF49EF" w:rsidRPr="00367CFC" w:rsidRDefault="00BF49EF">
      <w:pPr>
        <w:pStyle w:val="CommentText"/>
        <w:rPr>
          <w:lang w:val="en-CA"/>
        </w:rPr>
      </w:pPr>
      <w:r>
        <w:rPr>
          <w:rStyle w:val="CommentReference"/>
        </w:rPr>
        <w:annotationRef/>
      </w:r>
      <w:r>
        <w:t>can get mean and CI on differences between the two approaches…</w:t>
      </w:r>
    </w:p>
  </w:comment>
  <w:comment w:id="9" w:author="Joseph Stinziano" w:date="2020-01-09T09:27:00Z" w:initials="JS">
    <w:p w14:paraId="176A01F7" w14:textId="57EC2FF5" w:rsidR="00BF49EF" w:rsidRDefault="00BF49EF">
      <w:pPr>
        <w:pStyle w:val="CommentText"/>
      </w:pPr>
      <w:r>
        <w:rPr>
          <w:rStyle w:val="CommentReference"/>
        </w:rPr>
        <w:annotationRef/>
      </w:r>
      <w:r>
        <w:t>Need section on modelled carbon 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93CED5" w15:done="0"/>
  <w15:commentEx w15:paraId="613AED80" w15:done="0"/>
  <w15:commentEx w15:paraId="2D85D8A8" w15:done="0"/>
  <w15:commentEx w15:paraId="0BDFE5A7" w15:done="0"/>
  <w15:commentEx w15:paraId="1E21BB02" w15:done="0"/>
  <w15:commentEx w15:paraId="04554010" w15:done="0"/>
  <w15:commentEx w15:paraId="463CA36C" w15:done="0"/>
  <w15:commentEx w15:paraId="42B06FD2" w15:done="0"/>
  <w15:commentEx w15:paraId="176A01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93CED5" w16cid:durableId="21C172F4"/>
  <w16cid:commentId w16cid:paraId="613AED80" w16cid:durableId="21C17359"/>
  <w16cid:commentId w16cid:paraId="2D85D8A8" w16cid:durableId="21C17362"/>
  <w16cid:commentId w16cid:paraId="0BDFE5A7" w16cid:durableId="21BF1119"/>
  <w16cid:commentId w16cid:paraId="04554010" w16cid:durableId="21C19503"/>
  <w16cid:commentId w16cid:paraId="463CA36C" w16cid:durableId="21C17394"/>
  <w16cid:commentId w16cid:paraId="42B06FD2" w16cid:durableId="21BDC874"/>
  <w16cid:commentId w16cid:paraId="176A01F7" w16cid:durableId="21C17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3B518" w14:textId="77777777" w:rsidR="006E21EB" w:rsidRDefault="006E21EB" w:rsidP="00190931">
      <w:pPr>
        <w:spacing w:after="0" w:line="240" w:lineRule="auto"/>
      </w:pPr>
      <w:r>
        <w:separator/>
      </w:r>
    </w:p>
  </w:endnote>
  <w:endnote w:type="continuationSeparator" w:id="0">
    <w:p w14:paraId="4792A46C" w14:textId="77777777" w:rsidR="006E21EB" w:rsidRDefault="006E21EB"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BF49EF" w:rsidRPr="00190931" w:rsidRDefault="00BF49EF" w:rsidP="00CB3198">
        <w:pPr>
          <w:pStyle w:val="Footer"/>
          <w:pBdr>
            <w:top w:val="single" w:sz="4" w:space="1" w:color="auto"/>
          </w:pBd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BF49EF" w:rsidRDefault="00BF4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BF49EF" w:rsidRPr="00190931" w:rsidRDefault="00BF49EF">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BF49EF" w:rsidRPr="00190931" w:rsidRDefault="00BF49EF">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9FB7E" w14:textId="77777777" w:rsidR="006E21EB" w:rsidRDefault="006E21EB" w:rsidP="00190931">
      <w:pPr>
        <w:spacing w:after="0" w:line="240" w:lineRule="auto"/>
      </w:pPr>
      <w:r>
        <w:separator/>
      </w:r>
    </w:p>
  </w:footnote>
  <w:footnote w:type="continuationSeparator" w:id="0">
    <w:p w14:paraId="0CC0ADE9" w14:textId="77777777" w:rsidR="006E21EB" w:rsidRDefault="006E21EB"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6AF9"/>
    <w:rsid w:val="00016E46"/>
    <w:rsid w:val="000264E2"/>
    <w:rsid w:val="0003170F"/>
    <w:rsid w:val="0004126A"/>
    <w:rsid w:val="00064F2C"/>
    <w:rsid w:val="00074F62"/>
    <w:rsid w:val="000C5E11"/>
    <w:rsid w:val="000E2CB3"/>
    <w:rsid w:val="00100AE8"/>
    <w:rsid w:val="00124E3E"/>
    <w:rsid w:val="00134D1E"/>
    <w:rsid w:val="00154A14"/>
    <w:rsid w:val="00170E94"/>
    <w:rsid w:val="00184C36"/>
    <w:rsid w:val="00190931"/>
    <w:rsid w:val="00195FC9"/>
    <w:rsid w:val="001B3A9D"/>
    <w:rsid w:val="001C3146"/>
    <w:rsid w:val="001C4756"/>
    <w:rsid w:val="001E4502"/>
    <w:rsid w:val="00206D84"/>
    <w:rsid w:val="00243947"/>
    <w:rsid w:val="00247F8E"/>
    <w:rsid w:val="0027580E"/>
    <w:rsid w:val="00290544"/>
    <w:rsid w:val="002B0AA8"/>
    <w:rsid w:val="002C483E"/>
    <w:rsid w:val="002C71BF"/>
    <w:rsid w:val="002D59E1"/>
    <w:rsid w:val="002F07D0"/>
    <w:rsid w:val="002F2DCA"/>
    <w:rsid w:val="00316AA7"/>
    <w:rsid w:val="00340642"/>
    <w:rsid w:val="00352AAF"/>
    <w:rsid w:val="00355443"/>
    <w:rsid w:val="00367CFC"/>
    <w:rsid w:val="00373122"/>
    <w:rsid w:val="003811C5"/>
    <w:rsid w:val="00383A05"/>
    <w:rsid w:val="00394D1C"/>
    <w:rsid w:val="003B44E2"/>
    <w:rsid w:val="003E2AFD"/>
    <w:rsid w:val="003F2CEA"/>
    <w:rsid w:val="00435780"/>
    <w:rsid w:val="00444F06"/>
    <w:rsid w:val="004512A9"/>
    <w:rsid w:val="004A0367"/>
    <w:rsid w:val="004A501D"/>
    <w:rsid w:val="004B295A"/>
    <w:rsid w:val="004D451E"/>
    <w:rsid w:val="00522DC5"/>
    <w:rsid w:val="005613CA"/>
    <w:rsid w:val="00577D52"/>
    <w:rsid w:val="005A415C"/>
    <w:rsid w:val="005B0FC4"/>
    <w:rsid w:val="005C3801"/>
    <w:rsid w:val="005D14D6"/>
    <w:rsid w:val="00604480"/>
    <w:rsid w:val="006142CC"/>
    <w:rsid w:val="00615D1B"/>
    <w:rsid w:val="00620862"/>
    <w:rsid w:val="00627358"/>
    <w:rsid w:val="0063016C"/>
    <w:rsid w:val="00632F39"/>
    <w:rsid w:val="00650BFF"/>
    <w:rsid w:val="00693015"/>
    <w:rsid w:val="006C1935"/>
    <w:rsid w:val="006D474D"/>
    <w:rsid w:val="006E15F2"/>
    <w:rsid w:val="006E21EB"/>
    <w:rsid w:val="006E448B"/>
    <w:rsid w:val="006E7FAB"/>
    <w:rsid w:val="0072692D"/>
    <w:rsid w:val="00726E6A"/>
    <w:rsid w:val="007609D4"/>
    <w:rsid w:val="00771860"/>
    <w:rsid w:val="007925D5"/>
    <w:rsid w:val="007D1E14"/>
    <w:rsid w:val="00806D1B"/>
    <w:rsid w:val="00810EC4"/>
    <w:rsid w:val="00824E08"/>
    <w:rsid w:val="0083147D"/>
    <w:rsid w:val="00845FFF"/>
    <w:rsid w:val="008545E3"/>
    <w:rsid w:val="00876157"/>
    <w:rsid w:val="008E2694"/>
    <w:rsid w:val="008E363A"/>
    <w:rsid w:val="00930D74"/>
    <w:rsid w:val="009333E1"/>
    <w:rsid w:val="00933B5D"/>
    <w:rsid w:val="0093486B"/>
    <w:rsid w:val="00937030"/>
    <w:rsid w:val="009465F7"/>
    <w:rsid w:val="0095270C"/>
    <w:rsid w:val="0098727B"/>
    <w:rsid w:val="0099596D"/>
    <w:rsid w:val="009A532B"/>
    <w:rsid w:val="009B201D"/>
    <w:rsid w:val="009C07E6"/>
    <w:rsid w:val="009C7884"/>
    <w:rsid w:val="009D5E81"/>
    <w:rsid w:val="00A82413"/>
    <w:rsid w:val="00A9251D"/>
    <w:rsid w:val="00A94F94"/>
    <w:rsid w:val="00AA2269"/>
    <w:rsid w:val="00AA725A"/>
    <w:rsid w:val="00AB4287"/>
    <w:rsid w:val="00AD00FE"/>
    <w:rsid w:val="00AE19A7"/>
    <w:rsid w:val="00AF4DB0"/>
    <w:rsid w:val="00AF5434"/>
    <w:rsid w:val="00B06E6A"/>
    <w:rsid w:val="00B074E7"/>
    <w:rsid w:val="00B14AB1"/>
    <w:rsid w:val="00B34BB5"/>
    <w:rsid w:val="00B414CD"/>
    <w:rsid w:val="00B41825"/>
    <w:rsid w:val="00B80B2A"/>
    <w:rsid w:val="00BC42C4"/>
    <w:rsid w:val="00BD0E0E"/>
    <w:rsid w:val="00BE5F77"/>
    <w:rsid w:val="00BF0B3C"/>
    <w:rsid w:val="00BF49EF"/>
    <w:rsid w:val="00C02D57"/>
    <w:rsid w:val="00C13A0E"/>
    <w:rsid w:val="00C27CAD"/>
    <w:rsid w:val="00C346C9"/>
    <w:rsid w:val="00C36F20"/>
    <w:rsid w:val="00C43FB6"/>
    <w:rsid w:val="00C77D63"/>
    <w:rsid w:val="00C87C44"/>
    <w:rsid w:val="00C91FD4"/>
    <w:rsid w:val="00CB3198"/>
    <w:rsid w:val="00CB4687"/>
    <w:rsid w:val="00CC1403"/>
    <w:rsid w:val="00D258E1"/>
    <w:rsid w:val="00D3645B"/>
    <w:rsid w:val="00D658A8"/>
    <w:rsid w:val="00D731FD"/>
    <w:rsid w:val="00D739D6"/>
    <w:rsid w:val="00D91955"/>
    <w:rsid w:val="00DA4B8D"/>
    <w:rsid w:val="00DA6E1E"/>
    <w:rsid w:val="00DB6062"/>
    <w:rsid w:val="00DC02BE"/>
    <w:rsid w:val="00DE0E23"/>
    <w:rsid w:val="00DE2A02"/>
    <w:rsid w:val="00DE428A"/>
    <w:rsid w:val="00E03E76"/>
    <w:rsid w:val="00E1657A"/>
    <w:rsid w:val="00E22D4C"/>
    <w:rsid w:val="00E22F64"/>
    <w:rsid w:val="00E36D2B"/>
    <w:rsid w:val="00E45E7B"/>
    <w:rsid w:val="00E875FB"/>
    <w:rsid w:val="00E955F1"/>
    <w:rsid w:val="00ED69C5"/>
    <w:rsid w:val="00EF3213"/>
    <w:rsid w:val="00F10679"/>
    <w:rsid w:val="00F14592"/>
    <w:rsid w:val="00F22E09"/>
    <w:rsid w:val="00F83B35"/>
    <w:rsid w:val="00FC08D6"/>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 w:type="table" w:styleId="TableGrid">
    <w:name w:val="Table Grid"/>
    <w:basedOn w:val="TableNormal"/>
    <w:uiPriority w:val="39"/>
    <w:rsid w:val="00AB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7624">
      <w:bodyDiv w:val="1"/>
      <w:marLeft w:val="0"/>
      <w:marRight w:val="0"/>
      <w:marTop w:val="0"/>
      <w:marBottom w:val="0"/>
      <w:divBdr>
        <w:top w:val="none" w:sz="0" w:space="0" w:color="auto"/>
        <w:left w:val="none" w:sz="0" w:space="0" w:color="auto"/>
        <w:bottom w:val="none" w:sz="0" w:space="0" w:color="auto"/>
        <w:right w:val="none" w:sz="0" w:space="0" w:color="auto"/>
      </w:divBdr>
    </w:div>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stinziano@unm.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2804</TotalTime>
  <Pages>16</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20</cp:revision>
  <dcterms:created xsi:type="dcterms:W3CDTF">2020-01-06T21:35:00Z</dcterms:created>
  <dcterms:modified xsi:type="dcterms:W3CDTF">2020-01-11T13:51:00Z</dcterms:modified>
</cp:coreProperties>
</file>