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8"/>
          <w:szCs w:val="48"/>
        </w:rPr>
        <w:t xml:space="preserve">Stone Tech, LLC</w:t>
      </w:r>
    </w:p>
    <w:p>
      <w:pPr>
        <w:jc w:val="center"/>
      </w:pPr>
      <w:r>
        <w:rPr>
          <w:rFonts w:ascii="Arial" w:cs="Arial" w:eastAsia="Arial" w:hAnsi="Arial"/>
          <w:color w:val="555555"/>
          <w:sz w:val="28"/>
          <w:szCs w:val="28"/>
        </w:rPr>
        <w:t xml:space="preserve">Tennessee LLC Formation Guide</w:t>
      </w:r>
    </w:p>
    <w:p>
      <w:pPr>
        <w:jc w:val="center"/>
      </w:pPr>
      <w:r>
        <w:rPr>
          <w:rFonts w:ascii="Arial" w:cs="Arial" w:eastAsia="Arial" w:hAnsi="Arial"/>
          <w:i/>
          <w:iCs/>
          <w:color w:val="777777"/>
          <w:sz w:val="22"/>
          <w:szCs w:val="22"/>
        </w:rPr>
        <w:t xml:space="preserve">Single-Member LLC | Software &amp; Hardware Projects</w:t>
      </w:r>
    </w:p>
    <w:p>
      <w:r>
        <w:t xml:space="preserve"/>
      </w:r>
    </w:p>
    <w:p>
      <w:pPr>
        <w:pBdr>
          <w:bottom w:val="single" w:color="2E5A88" w:sz="12" w:space="4"/>
        </w:pBdr>
      </w:pPr>
      <w:r>
        <w:t xml:space="preserve"/>
      </w:r>
    </w:p>
    <w:p>
      <w:r>
        <w:t xml:space="preserve"/>
      </w:r>
    </w:p>
    <w:p>
      <w:pPr>
        <w:pStyle w:val="Heading1"/>
      </w:pPr>
      <w:r>
        <w:rPr>
          <w:rFonts w:ascii="Arial" w:cs="Arial" w:eastAsia="Arial" w:hAnsi="Arial"/>
          <w:b/>
          <w:bCs/>
          <w:sz w:val="32"/>
          <w:szCs w:val="32"/>
        </w:rPr>
        <w:t xml:space="preserve">At a Glance</w:t>
      </w:r>
    </w:p>
    <w:p>
      <w:r>
        <w:rPr>
          <w:rFonts w:ascii="Arial" w:cs="Arial" w:eastAsia="Arial" w:hAnsi="Arial"/>
        </w:rPr>
        <w:t xml:space="preserve">This guide walks you through forming Stone Tech, LLC in Tennessee as a single-member LLC, from name verification through your first annual filings. Tennessee has some unique cost considerations (notably a $300 minimum filing fee and franchise/excise tax) that you should understand before filing.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2E5A88" w:val="clear"/>
            <w:tcMar>
              <w:top w:type="dxa" w:w="100"/>
              <w:left w:type="dxa" w:w="140"/>
              <w:bottom w:type="dxa" w:w="100"/>
              <w:right w:type="dxa" w:w="140"/>
            </w:tcMar>
          </w:tcPr>
          <w:p>
            <w:r>
              <w:rPr>
                <w:rFonts w:ascii="Arial" w:cs="Arial" w:eastAsia="Arial" w:hAnsi="Arial"/>
                <w:b/>
                <w:bCs/>
                <w:color w:val="FFFFFF"/>
              </w:rPr>
              <w:t xml:space="preserve">Item</w:t>
            </w:r>
          </w:p>
        </w:tc>
        <w:tc>
          <w:tcPr>
            <w:tcW w:type="dxa" w:w="3120"/>
            <w:tcBorders>
              <w:top w:val="single" w:color="999999" w:sz="4"/>
              <w:left w:val="single" w:color="999999" w:sz="4"/>
              <w:bottom w:val="single" w:color="999999" w:sz="4"/>
              <w:right w:val="single" w:color="999999" w:sz="4"/>
            </w:tcBorders>
            <w:shd w:fill="2E5A88" w:val="clear"/>
            <w:tcMar>
              <w:top w:type="dxa" w:w="100"/>
              <w:left w:type="dxa" w:w="140"/>
              <w:bottom w:type="dxa" w:w="100"/>
              <w:right w:type="dxa" w:w="140"/>
            </w:tcMar>
          </w:tcPr>
          <w:p>
            <w:r>
              <w:rPr>
                <w:rFonts w:ascii="Arial" w:cs="Arial" w:eastAsia="Arial" w:hAnsi="Arial"/>
                <w:b/>
                <w:bCs/>
                <w:color w:val="FFFFFF"/>
              </w:rPr>
              <w:t xml:space="preserve">Cost (as of 2026)</w:t>
            </w:r>
          </w:p>
        </w:tc>
        <w:tc>
          <w:tcPr>
            <w:tcW w:type="dxa" w:w="3120"/>
            <w:tcBorders>
              <w:top w:val="single" w:color="999999" w:sz="4"/>
              <w:left w:val="single" w:color="999999" w:sz="4"/>
              <w:bottom w:val="single" w:color="999999" w:sz="4"/>
              <w:right w:val="single" w:color="999999" w:sz="4"/>
            </w:tcBorders>
            <w:shd w:fill="2E5A88" w:val="clear"/>
            <w:tcMar>
              <w:top w:type="dxa" w:w="100"/>
              <w:left w:type="dxa" w:w="140"/>
              <w:bottom w:type="dxa" w:w="100"/>
              <w:right w:type="dxa" w:w="140"/>
            </w:tcMar>
          </w:tcPr>
          <w:p>
            <w:r>
              <w:rPr>
                <w:rFonts w:ascii="Arial" w:cs="Arial" w:eastAsia="Arial" w:hAnsi="Arial"/>
                <w:b/>
                <w:bCs/>
                <w:color w:val="FFFFFF"/>
              </w:rPr>
              <w:t xml:space="preserve">Timing</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Name reservation (optional)</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$20</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Holds name for 120 days</w:t>
            </w:r>
          </w:p>
        </w:tc>
      </w:tr>
      <w:tr>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Articles of Organization filing</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$300 minimum (single member)</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One-time, at formation</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EIN from IRS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Free</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After SOS approval</w:t>
            </w:r>
          </w:p>
        </w:tc>
      </w:tr>
      <w:tr>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Operating Agreement</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Free (DIY) or attorney fee</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Recommended at formation</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TN annual report</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$300 minimum</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Due 1st day of 4th month after fiscal year end</w:t>
            </w:r>
          </w:p>
        </w:tc>
      </w:tr>
      <w:tr>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TN franchise tax</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$100 minimum (0.25% of net worth)</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Annual</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TN excise tax</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6.5% of net earnings (over $50K standard deduction)</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Annual</w:t>
            </w:r>
          </w:p>
        </w:tc>
      </w:tr>
      <w:tr>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Business license (county/city)</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~$15 application + $22 minimum tax</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If gross receipts &gt; $100,000</w:t>
            </w:r>
          </w:p>
        </w:tc>
      </w:tr>
    </w:tbl>
    <w:p>
      <w:r>
        <w:t xml:space="preserve"/>
      </w:r>
    </w:p>
    <w:p>
      <w:pPr>
        <w:rPr>
          <w:i/>
          <w:iCs/>
        </w:rPr>
      </w:pPr>
      <w:r>
        <w:rPr>
          <w:rFonts w:ascii="Arial" w:cs="Arial" w:eastAsia="Arial" w:hAnsi="Arial"/>
          <w:i/>
          <w:iCs/>
        </w:rPr>
        <w:t xml:space="preserve">Heads up: Tennessee is among the more expensive states for LLC fees. Expect at least ~$700/yr in state-level recurring costs ($300 annual report + $100 minimum franchise tax + excise tax + any local business license).</w:t>
      </w:r>
    </w:p>
    <w:p>
      <w:r>
        <w:br w:type="page"/>
      </w:r>
    </w:p>
    <w:p>
      <w:pPr>
        <w:pStyle w:val="Heading1"/>
      </w:pPr>
      <w:r>
        <w:rPr>
          <w:rFonts w:ascii="Arial" w:cs="Arial" w:eastAsia="Arial" w:hAnsi="Arial"/>
          <w:b/>
          <w:bCs/>
          <w:sz w:val="32"/>
          <w:szCs w:val="32"/>
        </w:rPr>
        <w:t xml:space="preserve">Phase 1: Pre-Formation Checks</w:t>
      </w:r>
    </w:p>
    <w:p>
      <w:r>
        <w:rPr>
          <w:rFonts w:ascii="Arial" w:cs="Arial" w:eastAsia="Arial" w:hAnsi="Arial"/>
        </w:rPr>
        <w:t xml:space="preserve">Before you file anything, confirm Stone Tech is actually available — both as a Tennessee business name and as a trademark. These two checks are independent and both matter.</w:t>
      </w:r>
    </w:p>
    <w:p>
      <w:pPr>
        <w:pStyle w:val="Heading2"/>
      </w:pPr>
      <w:r>
        <w:rPr>
          <w:rFonts w:ascii="Arial" w:cs="Arial" w:eastAsia="Arial" w:hAnsi="Arial"/>
          <w:b/>
          <w:bCs/>
          <w:sz w:val="28"/>
          <w:szCs w:val="28"/>
        </w:rPr>
        <w:t xml:space="preserve">1.1 Tennessee Name Availability Check</w:t>
      </w:r>
    </w:p>
    <w:p>
      <w:r>
        <w:rPr>
          <w:rFonts w:ascii="Arial" w:cs="Arial" w:eastAsia="Arial" w:hAnsi="Arial"/>
        </w:rPr>
        <w:t xml:space="preserve">Tennessee requires LLC names to be distinguishable from any existing business entity on file. The name must also include one of: “Limited Liability Company,” “LLC,” or “L.L.C.”</w:t>
      </w:r>
    </w:p>
    <w:p>
      <w:r>
        <w:t xml:space="preserve"/>
      </w:r>
    </w:p>
    <w:p>
      <w:pPr>
        <w:rPr>
          <w:b/>
          <w:bCs/>
        </w:rPr>
      </w:pPr>
      <w:r>
        <w:rPr>
          <w:rFonts w:ascii="Arial" w:cs="Arial" w:eastAsia="Arial" w:hAnsi="Arial"/>
          <w:b/>
          <w:bCs/>
        </w:rPr>
        <w:t xml:space="preserve">Step-by-step:</w:t>
      </w:r>
    </w:p>
    <w:p>
      <w:pPr>
        <w:pStyle w:val="ListParagraph"/>
        <w:numPr>
          <w:ilvl w:val="0"/>
          <w:numId w:val="2"/>
        </w:numPr>
      </w:pPr>
      <w:r>
        <w:rPr>
          <w:rFonts w:ascii="Arial" w:cs="Arial" w:eastAsia="Arial" w:hAnsi="Arial"/>
        </w:rPr>
        <w:t xml:space="preserve">Go to the Tennessee Secretary of State business name search.</w:t>
      </w:r>
    </w:p>
    <w:p>
      <w:pPr>
        <w:pStyle w:val="ListParagraph"/>
        <w:numPr>
          <w:ilvl w:val="0"/>
          <w:numId w:val="2"/>
        </w:numPr>
      </w:pPr>
      <w:r>
        <w:rPr>
          <w:rFonts w:ascii="Arial" w:cs="Arial" w:eastAsia="Arial" w:hAnsi="Arial"/>
        </w:rPr>
        <w:t xml:space="preserve">Search variations: “Stone Tech,” “Stone Tech LLC,” “StoneTech,” “Stone Technology,” “Stone Technologies.”</w:t>
      </w:r>
    </w:p>
    <w:p>
      <w:pPr>
        <w:pStyle w:val="ListParagraph"/>
        <w:numPr>
          <w:ilvl w:val="0"/>
          <w:numId w:val="2"/>
        </w:numPr>
      </w:pPr>
      <w:r>
        <w:rPr>
          <w:rFonts w:ascii="Arial" w:cs="Arial" w:eastAsia="Arial" w:hAnsi="Arial"/>
        </w:rPr>
        <w:t xml:space="preserve">Look for exact and near-exact matches. The SOS will reject names that are too similar to active entities.</w:t>
      </w:r>
    </w:p>
    <w:p>
      <w:pPr>
        <w:pStyle w:val="ListParagraph"/>
        <w:numPr>
          <w:ilvl w:val="0"/>
          <w:numId w:val="2"/>
        </w:numPr>
      </w:pPr>
      <w:r>
        <w:rPr>
          <w:rFonts w:ascii="Arial" w:cs="Arial" w:eastAsia="Arial" w:hAnsi="Arial"/>
        </w:rPr>
        <w:t xml:space="preserve">If clear, you can either file immediately or reserve the name for 120 days using Form SS-9425 (also referenced as SS-4228 in some sources) for $20.</w:t>
      </w:r>
    </w:p>
    <w:p>
      <w:r>
        <w:t xml:space="preserve"/>
      </w:r>
    </w:p>
    <w:p>
      <w:r>
        <w:rPr>
          <w:rFonts w:ascii="Arial" w:cs="Arial" w:eastAsia="Arial" w:hAnsi="Arial"/>
        </w:rPr>
        <w:t xml:space="preserve">Direct link: </w:t>
      </w:r>
      <w:hyperlink w:history="1" r:id="rIdgpf7ofvbntdoazz6oghn9">
        <w:r>
          <w:rPr>
            <w:rStyle w:val="Hyperlink"/>
            <w:rFonts w:ascii="Arial" w:cs="Arial" w:eastAsia="Arial" w:hAnsi="Arial"/>
          </w:rPr>
          <w:t xml:space="preserve">TN SOS Business Name Search</w:t>
        </w:r>
      </w:hyperlink>
    </w:p>
    <w:p>
      <w:r>
        <w:t xml:space="preserve"/>
      </w:r>
    </w:p>
    <w:p>
      <w:pPr>
        <w:rPr>
          <w:i/>
          <w:iCs/>
        </w:rPr>
      </w:pPr>
      <w:r>
        <w:rPr>
          <w:rFonts w:ascii="Arial" w:cs="Arial" w:eastAsia="Arial" w:hAnsi="Arial"/>
          <w:i/>
          <w:iCs/>
        </w:rPr>
        <w:t xml:space="preserve">Tip on “Stone Tech” specifically: it’s a fairly generic combination, so be prepared with backups. If “Stone Tech LLC” is taken, consider “Stone Tech Labs LLC,” “Stone Tech Systems LLC,” “StoneTech Studio LLC,” or use your full surname like “Stone-Woodard Technology LLC.” You can also use a different legal name and operate under a DBA (“assumed name” in Tennessee) for branding.</w:t>
      </w:r>
    </w:p>
    <w:p>
      <w:r>
        <w:t xml:space="preserve"/>
      </w:r>
    </w:p>
    <w:p>
      <w:pPr>
        <w:pStyle w:val="Heading2"/>
      </w:pPr>
      <w:r>
        <w:rPr>
          <w:rFonts w:ascii="Arial" w:cs="Arial" w:eastAsia="Arial" w:hAnsi="Arial"/>
          <w:b/>
          <w:bCs/>
          <w:sz w:val="28"/>
          <w:szCs w:val="28"/>
        </w:rPr>
        <w:t xml:space="preserve">1.2 Federal Trademark Check (USPTO)</w:t>
      </w:r>
    </w:p>
    <w:p>
      <w:r>
        <w:rPr>
          <w:rFonts w:ascii="Arial" w:cs="Arial" w:eastAsia="Arial" w:hAnsi="Arial"/>
        </w:rPr>
        <w:t xml:space="preserve">A clean state-level name search doesn’t mean you’re safe on trademark. “Stone Tech” is a relatively common combination, and there are likely existing marks using “StoneTech” or “Stone Tech” in tech-related classes. Search USPTO before you build a brand around it.</w:t>
      </w:r>
    </w:p>
    <w:p>
      <w:r>
        <w:t xml:space="preserve"/>
      </w:r>
    </w:p>
    <w:p>
      <w:pPr>
        <w:rPr>
          <w:b/>
          <w:bCs/>
        </w:rPr>
      </w:pPr>
      <w:r>
        <w:rPr>
          <w:rFonts w:ascii="Arial" w:cs="Arial" w:eastAsia="Arial" w:hAnsi="Arial"/>
          <w:b/>
          <w:bCs/>
        </w:rPr>
        <w:t xml:space="preserve">Step-by-step:</w:t>
      </w:r>
    </w:p>
    <w:p>
      <w:pPr>
        <w:pStyle w:val="ListParagraph"/>
        <w:numPr>
          <w:ilvl w:val="0"/>
          <w:numId w:val="2"/>
        </w:numPr>
      </w:pPr>
      <w:r>
        <w:rPr>
          <w:rFonts w:ascii="Arial" w:cs="Arial" w:eastAsia="Arial" w:hAnsi="Arial"/>
        </w:rPr>
        <w:t xml:space="preserve">Open the USPTO trademark search.</w:t>
      </w:r>
    </w:p>
    <w:p>
      <w:pPr>
        <w:pStyle w:val="ListParagraph"/>
        <w:numPr>
          <w:ilvl w:val="0"/>
          <w:numId w:val="2"/>
        </w:numPr>
      </w:pPr>
      <w:r>
        <w:rPr>
          <w:rFonts w:ascii="Arial" w:cs="Arial" w:eastAsia="Arial" w:hAnsi="Arial"/>
        </w:rPr>
        <w:t xml:space="preserve">Search “Stone Tech” and “StoneTech” as separate queries.</w:t>
      </w:r>
    </w:p>
    <w:p>
      <w:pPr>
        <w:pStyle w:val="ListParagraph"/>
        <w:numPr>
          <w:ilvl w:val="0"/>
          <w:numId w:val="2"/>
        </w:numPr>
      </w:pPr>
      <w:r>
        <w:rPr>
          <w:rFonts w:ascii="Arial" w:cs="Arial" w:eastAsia="Arial" w:hAnsi="Arial"/>
        </w:rPr>
        <w:t xml:space="preserve">Filter to LIVE marks (uncheck “dead”).</w:t>
      </w:r>
    </w:p>
    <w:p>
      <w:pPr>
        <w:pStyle w:val="ListParagraph"/>
        <w:numPr>
          <w:ilvl w:val="0"/>
          <w:numId w:val="2"/>
        </w:numPr>
      </w:pPr>
      <w:r>
        <w:rPr>
          <w:rFonts w:ascii="Arial" w:cs="Arial" w:eastAsia="Arial" w:hAnsi="Arial"/>
        </w:rPr>
        <w:t xml:space="preserve">Pay special attention to Class 9 (computer software/hardware) and Class 42 (software-as-a-service / computer services). These are the classes most relevant to your business.</w:t>
      </w:r>
    </w:p>
    <w:p>
      <w:pPr>
        <w:pStyle w:val="ListParagraph"/>
        <w:numPr>
          <w:ilvl w:val="0"/>
          <w:numId w:val="2"/>
        </w:numPr>
      </w:pPr>
      <w:r>
        <w:rPr>
          <w:rFonts w:ascii="Arial" w:cs="Arial" w:eastAsia="Arial" w:hAnsi="Arial"/>
        </w:rPr>
        <w:t xml:space="preserve">If you find a live, registered mark in those classes that’s confusingly similar, you have three options: pick a different name, file a coexistence agreement (rare), or move forward and accept the risk of a cease-and-desist (not recommended).</w:t>
      </w:r>
    </w:p>
    <w:p>
      <w:r>
        <w:t xml:space="preserve"/>
      </w:r>
    </w:p>
    <w:p>
      <w:r>
        <w:rPr>
          <w:rFonts w:ascii="Arial" w:cs="Arial" w:eastAsia="Arial" w:hAnsi="Arial"/>
        </w:rPr>
        <w:t xml:space="preserve">Direct link: </w:t>
      </w:r>
      <w:hyperlink w:history="1" r:id="rIdlrs7lb5y_y6huxiqq48hn">
        <w:r>
          <w:rPr>
            <w:rStyle w:val="Hyperlink"/>
            <w:rFonts w:ascii="Arial" w:cs="Arial" w:eastAsia="Arial" w:hAnsi="Arial"/>
          </w:rPr>
          <w:t xml:space="preserve">USPTO Trademark Search</w:t>
        </w:r>
      </w:hyperlink>
    </w:p>
    <w:p>
      <w:r>
        <w:t xml:space="preserve"/>
      </w:r>
    </w:p>
    <w:p>
      <w:pPr>
        <w:rPr>
          <w:i/>
          <w:iCs/>
        </w:rPr>
      </w:pPr>
      <w:r>
        <w:rPr>
          <w:rFonts w:ascii="Arial" w:cs="Arial" w:eastAsia="Arial" w:hAnsi="Arial"/>
          <w:i/>
          <w:iCs/>
        </w:rPr>
        <w:t xml:space="preserve">Important distinction: forming an LLC in Tennessee does NOT give you trademark rights. To protect the Stone Tech brand nationally, you’ll need to file a federal trademark application separately (~$350 government fee per class, plus attorney fees). Common practice: form the LLC first, get traction, then file for trademark once you’re committed to the name.</w:t>
      </w:r>
    </w:p>
    <w:p>
      <w:r>
        <w:t xml:space="preserve"/>
      </w:r>
    </w:p>
    <w:p>
      <w:pPr>
        <w:pStyle w:val="Heading2"/>
      </w:pPr>
      <w:r>
        <w:rPr>
          <w:rFonts w:ascii="Arial" w:cs="Arial" w:eastAsia="Arial" w:hAnsi="Arial"/>
          <w:b/>
          <w:bCs/>
          <w:sz w:val="28"/>
          <w:szCs w:val="28"/>
        </w:rPr>
        <w:t xml:space="preserve">1.3 Domain &amp; Handles</w:t>
      </w:r>
    </w:p>
    <w:p>
      <w:r>
        <w:rPr>
          <w:rFonts w:ascii="Arial" w:cs="Arial" w:eastAsia="Arial" w:hAnsi="Arial"/>
        </w:rPr>
        <w:t xml:space="preserve">Before committing, check these in parallel — if you can’t get acceptable versions of the URL and social handles, the name may not be worth fighting for.</w:t>
      </w:r>
    </w:p>
    <w:p>
      <w:pPr>
        <w:pStyle w:val="ListParagraph"/>
        <w:numPr>
          <w:ilvl w:val="0"/>
          <w:numId w:val="3"/>
        </w:numPr>
      </w:pPr>
      <w:r>
        <w:rPr>
          <w:rFonts w:ascii="Arial" w:cs="Arial" w:eastAsia="Arial" w:hAnsi="Arial"/>
        </w:rPr>
        <w:t xml:space="preserve">Domain: stonetech.com, stonetech.io, stonetech.co, stonetech.dev, etc.</w:t>
      </w:r>
    </w:p>
    <w:p>
      <w:pPr>
        <w:pStyle w:val="ListParagraph"/>
        <w:numPr>
          <w:ilvl w:val="0"/>
          <w:numId w:val="3"/>
        </w:numPr>
      </w:pPr>
      <w:r>
        <w:rPr>
          <w:rFonts w:ascii="Arial" w:cs="Arial" w:eastAsia="Arial" w:hAnsi="Arial"/>
        </w:rPr>
        <w:t xml:space="preserve">Social: @stonetech on X, Instagram, LinkedIn, GitHub.</w:t>
      </w:r>
    </w:p>
    <w:p>
      <w:pPr>
        <w:pStyle w:val="ListParagraph"/>
        <w:numPr>
          <w:ilvl w:val="0"/>
          <w:numId w:val="3"/>
        </w:numPr>
      </w:pPr>
      <w:r>
        <w:rPr>
          <w:rFonts w:ascii="Arial" w:cs="Arial" w:eastAsia="Arial" w:hAnsi="Arial"/>
        </w:rPr>
        <w:t xml:space="preserve">Email: hello@stonetech.[tld].</w:t>
      </w:r>
    </w:p>
    <w:p>
      <w:r>
        <w:br w:type="page"/>
      </w:r>
    </w:p>
    <w:p>
      <w:pPr>
        <w:pStyle w:val="Heading1"/>
      </w:pPr>
      <w:r>
        <w:rPr>
          <w:rFonts w:ascii="Arial" w:cs="Arial" w:eastAsia="Arial" w:hAnsi="Arial"/>
          <w:b/>
          <w:bCs/>
          <w:sz w:val="32"/>
          <w:szCs w:val="32"/>
        </w:rPr>
        <w:t xml:space="preserve">Phase 2: Forming the LLC</w:t>
      </w:r>
    </w:p>
    <w:p>
      <w:pPr>
        <w:pStyle w:val="Heading2"/>
      </w:pPr>
      <w:r>
        <w:rPr>
          <w:rFonts w:ascii="Arial" w:cs="Arial" w:eastAsia="Arial" w:hAnsi="Arial"/>
          <w:b/>
          <w:bCs/>
          <w:sz w:val="28"/>
          <w:szCs w:val="28"/>
        </w:rPr>
        <w:t xml:space="preserve">2.1 Designate a Registered Agent</w:t>
      </w:r>
    </w:p>
    <w:p>
      <w:r>
        <w:rPr>
          <w:rFonts w:ascii="Arial" w:cs="Arial" w:eastAsia="Arial" w:hAnsi="Arial"/>
        </w:rPr>
        <w:t xml:space="preserve">Tennessee requires every LLC to have a registered agent: a person or company with a Tennessee physical street address (no P.O. boxes) authorized to receive legal documents during business hours.</w:t>
      </w:r>
    </w:p>
    <w:p>
      <w:pPr>
        <w:pStyle w:val="ListParagraph"/>
        <w:numPr>
          <w:ilvl w:val="0"/>
          <w:numId w:val="3"/>
        </w:numPr>
      </w:pPr>
      <w:r>
        <w:rPr>
          <w:rFonts w:ascii="Arial" w:cs="Arial" w:eastAsia="Arial" w:hAnsi="Arial"/>
        </w:rPr>
        <w:t xml:space="preserve">You can be your own registered agent if you have a Tennessee street address you’re comfortable making public.</w:t>
      </w:r>
    </w:p>
    <w:p>
      <w:pPr>
        <w:pStyle w:val="ListParagraph"/>
        <w:numPr>
          <w:ilvl w:val="0"/>
          <w:numId w:val="3"/>
        </w:numPr>
      </w:pPr>
      <w:r>
        <w:rPr>
          <w:rFonts w:ascii="Arial" w:cs="Arial" w:eastAsia="Arial" w:hAnsi="Arial"/>
        </w:rPr>
        <w:t xml:space="preserve">Or use a commercial registered agent service (Northwest, Harbor Compliance, ZenBusiness, LegalZoom, etc.) for ~$100–$200/yr. Worth it if you want privacy or travel often.</w:t>
      </w:r>
    </w:p>
    <w:p>
      <w:r>
        <w:t xml:space="preserve"/>
      </w:r>
    </w:p>
    <w:p>
      <w:pPr>
        <w:pStyle w:val="Heading2"/>
      </w:pPr>
      <w:r>
        <w:rPr>
          <w:rFonts w:ascii="Arial" w:cs="Arial" w:eastAsia="Arial" w:hAnsi="Arial"/>
          <w:b/>
          <w:bCs/>
          <w:sz w:val="28"/>
          <w:szCs w:val="28"/>
        </w:rPr>
        <w:t xml:space="preserve">2.2 File the Articles of Organization (Form SS-4270)</w:t>
      </w:r>
    </w:p>
    <w:p>
      <w:r>
        <w:rPr>
          <w:rFonts w:ascii="Arial" w:cs="Arial" w:eastAsia="Arial" w:hAnsi="Arial"/>
        </w:rPr>
        <w:t xml:space="preserve">This is the legal birth certificate of Stone Tech, LLC. File it with the Tennessee Secretary of State.</w:t>
      </w:r>
    </w:p>
    <w:p>
      <w:r>
        <w:t xml:space="preserve"/>
      </w:r>
    </w:p>
    <w:p>
      <w:pPr>
        <w:rPr>
          <w:b/>
          <w:bCs/>
        </w:rPr>
      </w:pPr>
      <w:r>
        <w:rPr>
          <w:rFonts w:ascii="Arial" w:cs="Arial" w:eastAsia="Arial" w:hAnsi="Arial"/>
          <w:b/>
          <w:bCs/>
        </w:rPr>
        <w:t xml:space="preserve">Information you’ll need:</w:t>
      </w:r>
    </w:p>
    <w:p>
      <w:pPr>
        <w:pStyle w:val="ListParagraph"/>
        <w:numPr>
          <w:ilvl w:val="0"/>
          <w:numId w:val="3"/>
        </w:numPr>
      </w:pPr>
      <w:r>
        <w:rPr>
          <w:rFonts w:ascii="Arial" w:cs="Arial" w:eastAsia="Arial" w:hAnsi="Arial"/>
        </w:rPr>
        <w:t xml:space="preserve">LLC name (exactly as you want it, including “LLC”).</w:t>
      </w:r>
    </w:p>
    <w:p>
      <w:pPr>
        <w:pStyle w:val="ListParagraph"/>
        <w:numPr>
          <w:ilvl w:val="0"/>
          <w:numId w:val="3"/>
        </w:numPr>
      </w:pPr>
      <w:r>
        <w:rPr>
          <w:rFonts w:ascii="Arial" w:cs="Arial" w:eastAsia="Arial" w:hAnsi="Arial"/>
        </w:rPr>
        <w:t xml:space="preserve">Principal office address.</w:t>
      </w:r>
    </w:p>
    <w:p>
      <w:pPr>
        <w:pStyle w:val="ListParagraph"/>
        <w:numPr>
          <w:ilvl w:val="0"/>
          <w:numId w:val="3"/>
        </w:numPr>
      </w:pPr>
      <w:r>
        <w:rPr>
          <w:rFonts w:ascii="Arial" w:cs="Arial" w:eastAsia="Arial" w:hAnsi="Arial"/>
        </w:rPr>
        <w:t xml:space="preserve">Registered agent name and Tennessee street address.</w:t>
      </w:r>
    </w:p>
    <w:p>
      <w:pPr>
        <w:pStyle w:val="ListParagraph"/>
        <w:numPr>
          <w:ilvl w:val="0"/>
          <w:numId w:val="3"/>
        </w:numPr>
      </w:pPr>
      <w:r>
        <w:rPr>
          <w:rFonts w:ascii="Arial" w:cs="Arial" w:eastAsia="Arial" w:hAnsi="Arial"/>
        </w:rPr>
        <w:t xml:space="preserve">Number of members (1).</w:t>
      </w:r>
    </w:p>
    <w:p>
      <w:pPr>
        <w:pStyle w:val="ListParagraph"/>
        <w:numPr>
          <w:ilvl w:val="0"/>
          <w:numId w:val="3"/>
        </w:numPr>
      </w:pPr>
      <w:r>
        <w:rPr>
          <w:rFonts w:ascii="Arial" w:cs="Arial" w:eastAsia="Arial" w:hAnsi="Arial"/>
        </w:rPr>
        <w:t xml:space="preserve">Management structure: member-managed (you run it) or manager-managed (someone else does). For a solo founder, choose member-managed.</w:t>
      </w:r>
    </w:p>
    <w:p>
      <w:pPr>
        <w:pStyle w:val="ListParagraph"/>
        <w:numPr>
          <w:ilvl w:val="0"/>
          <w:numId w:val="3"/>
        </w:numPr>
      </w:pPr>
      <w:r>
        <w:rPr>
          <w:rFonts w:ascii="Arial" w:cs="Arial" w:eastAsia="Arial" w:hAnsi="Arial"/>
        </w:rPr>
        <w:t xml:space="preserve">Fiscal year end (typically December 31).</w:t>
      </w:r>
    </w:p>
    <w:p>
      <w:pPr>
        <w:pStyle w:val="ListParagraph"/>
        <w:numPr>
          <w:ilvl w:val="0"/>
          <w:numId w:val="3"/>
        </w:numPr>
      </w:pPr>
      <w:r>
        <w:rPr>
          <w:rFonts w:ascii="Arial" w:cs="Arial" w:eastAsia="Arial" w:hAnsi="Arial"/>
        </w:rPr>
        <w:t xml:space="preserve">Effective date (immediately upon filing, or delayed up to 90 days).</w:t>
      </w:r>
    </w:p>
    <w:p>
      <w:r>
        <w:t xml:space="preserve"/>
      </w:r>
    </w:p>
    <w:p>
      <w:pPr>
        <w:rPr>
          <w:b/>
          <w:bCs/>
        </w:rPr>
      </w:pPr>
      <w:r>
        <w:rPr>
          <w:rFonts w:ascii="Arial" w:cs="Arial" w:eastAsia="Arial" w:hAnsi="Arial"/>
          <w:b/>
          <w:bCs/>
        </w:rPr>
        <w:t xml:space="preserve">Filing options:</w:t>
      </w:r>
    </w:p>
    <w:p>
      <w:pPr>
        <w:pStyle w:val="ListParagraph"/>
        <w:numPr>
          <w:ilvl w:val="0"/>
          <w:numId w:val="3"/>
        </w:numPr>
      </w:pPr>
      <w:r>
        <w:rPr>
          <w:rFonts w:ascii="Arial" w:cs="Arial" w:eastAsia="Arial" w:hAnsi="Arial"/>
        </w:rPr>
        <w:t xml:space="preserve">Online via the TNCaB portal (Tennessee Charity and Business Filing System) — fastest, usually approved same day or next business day.</w:t>
      </w:r>
    </w:p>
    <w:p>
      <w:pPr>
        <w:pStyle w:val="ListParagraph"/>
        <w:numPr>
          <w:ilvl w:val="0"/>
          <w:numId w:val="3"/>
        </w:numPr>
      </w:pPr>
      <w:r>
        <w:rPr>
          <w:rFonts w:ascii="Arial" w:cs="Arial" w:eastAsia="Arial" w:hAnsi="Arial"/>
        </w:rPr>
        <w:t xml:space="preserve">By mail to Secretary of State, Business Services Division, 312 Rosa L. Parks Avenue, 6th Floor, Nashville, TN 37243.</w:t>
      </w:r>
    </w:p>
    <w:p>
      <w:r>
        <w:t xml:space="preserve"/>
      </w:r>
    </w:p>
    <w:p>
      <w:pPr>
        <w:rPr>
          <w:b/>
          <w:bCs/>
        </w:rPr>
      </w:pPr>
      <w:r>
        <w:rPr>
          <w:rFonts w:ascii="Arial" w:cs="Arial" w:eastAsia="Arial" w:hAnsi="Arial"/>
          <w:b/>
          <w:bCs/>
        </w:rPr>
        <w:t xml:space="preserve">Filing fee: $50 per member, $300 minimum. As a single-member LLC, you pay $300.</w:t>
      </w:r>
    </w:p>
    <w:p>
      <w:r>
        <w:t xml:space="preserve"/>
      </w:r>
    </w:p>
    <w:p>
      <w:r>
        <w:rPr>
          <w:rFonts w:ascii="Arial" w:cs="Arial" w:eastAsia="Arial" w:hAnsi="Arial"/>
        </w:rPr>
        <w:t xml:space="preserve">Direct link: </w:t>
      </w:r>
      <w:hyperlink w:history="1" r:id="rIdshcwqhsomm_xcvbhgsxpi">
        <w:r>
          <w:rPr>
            <w:rStyle w:val="Hyperlink"/>
            <w:rFonts w:ascii="Arial" w:cs="Arial" w:eastAsia="Arial" w:hAnsi="Arial"/>
          </w:rPr>
          <w:t xml:space="preserve">TNCaB Online Filing</w:t>
        </w:r>
      </w:hyperlink>
    </w:p>
    <w:p>
      <w:r>
        <w:t xml:space="preserve"/>
      </w:r>
    </w:p>
    <w:p>
      <w:pPr>
        <w:pStyle w:val="Heading2"/>
      </w:pPr>
      <w:r>
        <w:rPr>
          <w:rFonts w:ascii="Arial" w:cs="Arial" w:eastAsia="Arial" w:hAnsi="Arial"/>
          <w:b/>
          <w:bCs/>
          <w:sz w:val="28"/>
          <w:szCs w:val="28"/>
        </w:rPr>
        <w:t xml:space="preserve">2.3 Get an EIN from the IRS</w:t>
      </w:r>
    </w:p>
    <w:p>
      <w:r>
        <w:rPr>
          <w:rFonts w:ascii="Arial" w:cs="Arial" w:eastAsia="Arial" w:hAnsi="Arial"/>
        </w:rPr>
        <w:t xml:space="preserve">Once your LLC is approved by the state, get a federal Employer Identification Number from the IRS. This is your business’s SSN — required for bank accounts, hiring, and most vendors.</w:t>
      </w:r>
    </w:p>
    <w:p>
      <w:pPr>
        <w:pStyle w:val="ListParagraph"/>
        <w:numPr>
          <w:ilvl w:val="0"/>
          <w:numId w:val="3"/>
        </w:numPr>
      </w:pPr>
      <w:r>
        <w:rPr>
          <w:rFonts w:ascii="Arial" w:cs="Arial" w:eastAsia="Arial" w:hAnsi="Arial"/>
        </w:rPr>
        <w:t xml:space="preserve">Free.</w:t>
      </w:r>
    </w:p>
    <w:p>
      <w:pPr>
        <w:pStyle w:val="ListParagraph"/>
        <w:numPr>
          <w:ilvl w:val="0"/>
          <w:numId w:val="3"/>
        </w:numPr>
      </w:pPr>
      <w:r>
        <w:rPr>
          <w:rFonts w:ascii="Arial" w:cs="Arial" w:eastAsia="Arial" w:hAnsi="Arial"/>
        </w:rPr>
        <w:t xml:space="preserve">Apply online at IRS.gov; the EIN is issued immediately. Available Monday–Friday, 7am–10pm Eastern.</w:t>
      </w:r>
    </w:p>
    <w:p>
      <w:pPr>
        <w:pStyle w:val="ListParagraph"/>
        <w:numPr>
          <w:ilvl w:val="0"/>
          <w:numId w:val="3"/>
        </w:numPr>
      </w:pPr>
      <w:r>
        <w:rPr>
          <w:rFonts w:ascii="Arial" w:cs="Arial" w:eastAsia="Arial" w:hAnsi="Arial"/>
        </w:rPr>
        <w:t xml:space="preserve">As a single-member LLC, you’ll be classified as a “disregarded entity” for federal tax purposes by default — meaning you report business income on your personal Schedule C.</w:t>
      </w:r>
    </w:p>
    <w:p>
      <w:r>
        <w:t xml:space="preserve"/>
      </w:r>
    </w:p>
    <w:p>
      <w:r>
        <w:rPr>
          <w:rFonts w:ascii="Arial" w:cs="Arial" w:eastAsia="Arial" w:hAnsi="Arial"/>
        </w:rPr>
        <w:t xml:space="preserve">Direct link: </w:t>
      </w:r>
      <w:hyperlink w:history="1" r:id="rId25hrsbby4pzwzxikc4ziq">
        <w:r>
          <w:rPr>
            <w:rStyle w:val="Hyperlink"/>
            <w:rFonts w:ascii="Arial" w:cs="Arial" w:eastAsia="Arial" w:hAnsi="Arial"/>
          </w:rPr>
          <w:t xml:space="preserve">IRS EIN Online Application</w:t>
        </w:r>
      </w:hyperlink>
    </w:p>
    <w:p>
      <w:r>
        <w:t xml:space="preserve"/>
      </w:r>
    </w:p>
    <w:p>
      <w:pPr>
        <w:pStyle w:val="Heading2"/>
      </w:pPr>
      <w:r>
        <w:rPr>
          <w:rFonts w:ascii="Arial" w:cs="Arial" w:eastAsia="Arial" w:hAnsi="Arial"/>
          <w:b/>
          <w:bCs/>
          <w:sz w:val="28"/>
          <w:szCs w:val="28"/>
        </w:rPr>
        <w:t xml:space="preserve">2.4 Draft &amp; Sign an Operating Agreement</w:t>
      </w:r>
    </w:p>
    <w:p>
      <w:r>
        <w:rPr>
          <w:rFonts w:ascii="Arial" w:cs="Arial" w:eastAsia="Arial" w:hAnsi="Arial"/>
        </w:rPr>
        <w:t xml:space="preserve">Tennessee doesn’t require you to file an Operating Agreement, but you should absolutely have one — even as a sole owner. It separates you from the LLC legally, defines what happens if you become incapacitated, and is often required by banks.</w:t>
      </w:r>
    </w:p>
    <w:p>
      <w:r>
        <w:rPr>
          <w:rFonts w:ascii="Arial" w:cs="Arial" w:eastAsia="Arial" w:hAnsi="Arial"/>
        </w:rPr>
        <w:t xml:space="preserve">A starter single-member Operating Agreement is provided alongside this guide. Sign it, store the original in your business records, and provide a copy to your bank when opening an account.</w:t>
      </w:r>
    </w:p>
    <w:p>
      <w:r>
        <w:br w:type="page"/>
      </w:r>
    </w:p>
    <w:p>
      <w:pPr>
        <w:pStyle w:val="Heading1"/>
      </w:pPr>
      <w:r>
        <w:rPr>
          <w:rFonts w:ascii="Arial" w:cs="Arial" w:eastAsia="Arial" w:hAnsi="Arial"/>
          <w:b/>
          <w:bCs/>
          <w:sz w:val="32"/>
          <w:szCs w:val="32"/>
        </w:rPr>
        <w:t xml:space="preserve">Phase 3: After You're Formed</w:t>
      </w:r>
    </w:p>
    <w:p>
      <w:pPr>
        <w:pStyle w:val="Heading2"/>
      </w:pPr>
      <w:r>
        <w:rPr>
          <w:rFonts w:ascii="Arial" w:cs="Arial" w:eastAsia="Arial" w:hAnsi="Arial"/>
          <w:b/>
          <w:bCs/>
          <w:sz w:val="28"/>
          <w:szCs w:val="28"/>
        </w:rPr>
        <w:t xml:space="preserve">3.1 Open a Business Bank Account</w:t>
      </w:r>
    </w:p>
    <w:p>
      <w:r>
        <w:rPr>
          <w:rFonts w:ascii="Arial" w:cs="Arial" w:eastAsia="Arial" w:hAnsi="Arial"/>
        </w:rPr>
        <w:t xml:space="preserve">Critical for maintaining limited liability protection — never commingle personal and business funds.</w:t>
      </w:r>
    </w:p>
    <w:p>
      <w:pPr>
        <w:rPr>
          <w:b/>
          <w:bCs/>
        </w:rPr>
      </w:pPr>
      <w:r>
        <w:rPr>
          <w:rFonts w:ascii="Arial" w:cs="Arial" w:eastAsia="Arial" w:hAnsi="Arial"/>
          <w:b/>
          <w:bCs/>
        </w:rPr>
        <w:t xml:space="preserve">Bring to the bank:</w:t>
      </w:r>
    </w:p>
    <w:p>
      <w:pPr>
        <w:pStyle w:val="ListParagraph"/>
        <w:numPr>
          <w:ilvl w:val="0"/>
          <w:numId w:val="3"/>
        </w:numPr>
      </w:pPr>
      <w:r>
        <w:rPr>
          <w:rFonts w:ascii="Arial" w:cs="Arial" w:eastAsia="Arial" w:hAnsi="Arial"/>
        </w:rPr>
        <w:t xml:space="preserve">Articles of Organization (the stamped/approved version from TN SOS).</w:t>
      </w:r>
    </w:p>
    <w:p>
      <w:pPr>
        <w:pStyle w:val="ListParagraph"/>
        <w:numPr>
          <w:ilvl w:val="0"/>
          <w:numId w:val="3"/>
        </w:numPr>
      </w:pPr>
      <w:r>
        <w:rPr>
          <w:rFonts w:ascii="Arial" w:cs="Arial" w:eastAsia="Arial" w:hAnsi="Arial"/>
        </w:rPr>
        <w:t xml:space="preserve">EIN confirmation letter from IRS.</w:t>
      </w:r>
    </w:p>
    <w:p>
      <w:pPr>
        <w:pStyle w:val="ListParagraph"/>
        <w:numPr>
          <w:ilvl w:val="0"/>
          <w:numId w:val="3"/>
        </w:numPr>
      </w:pPr>
      <w:r>
        <w:rPr>
          <w:rFonts w:ascii="Arial" w:cs="Arial" w:eastAsia="Arial" w:hAnsi="Arial"/>
        </w:rPr>
        <w:t xml:space="preserve">Operating Agreement.</w:t>
      </w:r>
    </w:p>
    <w:p>
      <w:pPr>
        <w:pStyle w:val="ListParagraph"/>
        <w:numPr>
          <w:ilvl w:val="0"/>
          <w:numId w:val="3"/>
        </w:numPr>
      </w:pPr>
      <w:r>
        <w:rPr>
          <w:rFonts w:ascii="Arial" w:cs="Arial" w:eastAsia="Arial" w:hAnsi="Arial"/>
        </w:rPr>
        <w:t xml:space="preserve">Government-issued ID.</w:t>
      </w:r>
    </w:p>
    <w:p>
      <w:pPr>
        <w:pStyle w:val="ListParagraph"/>
        <w:numPr>
          <w:ilvl w:val="0"/>
          <w:numId w:val="3"/>
        </w:numPr>
      </w:pPr>
      <w:r>
        <w:rPr>
          <w:rFonts w:ascii="Arial" w:cs="Arial" w:eastAsia="Arial" w:hAnsi="Arial"/>
        </w:rPr>
        <w:t xml:space="preserve">Initial deposit (varies by bank).</w:t>
      </w:r>
    </w:p>
    <w:p>
      <w:r>
        <w:t xml:space="preserve"/>
      </w:r>
    </w:p>
    <w:p>
      <w:pPr>
        <w:rPr>
          <w:b/>
          <w:bCs/>
        </w:rPr>
      </w:pPr>
      <w:r>
        <w:rPr>
          <w:rFonts w:ascii="Arial" w:cs="Arial" w:eastAsia="Arial" w:hAnsi="Arial"/>
          <w:b/>
          <w:bCs/>
        </w:rPr>
        <w:t xml:space="preserve">Banks to consider:</w:t>
      </w:r>
    </w:p>
    <w:p>
      <w:pPr>
        <w:pStyle w:val="ListParagraph"/>
        <w:numPr>
          <w:ilvl w:val="0"/>
          <w:numId w:val="3"/>
        </w:numPr>
      </w:pPr>
      <w:r>
        <w:rPr>
          <w:rFonts w:ascii="Arial" w:cs="Arial" w:eastAsia="Arial" w:hAnsi="Arial"/>
        </w:rPr>
        <w:t xml:space="preserve">Local Tennessee banks (First Horizon, Pinnacle, Regions) — relationship banking, easier for small business loans.</w:t>
      </w:r>
    </w:p>
    <w:p>
      <w:pPr>
        <w:pStyle w:val="ListParagraph"/>
        <w:numPr>
          <w:ilvl w:val="0"/>
          <w:numId w:val="3"/>
        </w:numPr>
      </w:pPr>
      <w:r>
        <w:rPr>
          <w:rFonts w:ascii="Arial" w:cs="Arial" w:eastAsia="Arial" w:hAnsi="Arial"/>
        </w:rPr>
        <w:t xml:space="preserve">National banks (Chase, BofA) — broader product range.</w:t>
      </w:r>
    </w:p>
    <w:p>
      <w:pPr>
        <w:pStyle w:val="ListParagraph"/>
        <w:numPr>
          <w:ilvl w:val="0"/>
          <w:numId w:val="3"/>
        </w:numPr>
      </w:pPr>
      <w:r>
        <w:rPr>
          <w:rFonts w:ascii="Arial" w:cs="Arial" w:eastAsia="Arial" w:hAnsi="Arial"/>
        </w:rPr>
        <w:t xml:space="preserve">Fintech/online (Mercury, Relay) — better software, often free, but cash deposits are harder.</w:t>
      </w:r>
    </w:p>
    <w:p>
      <w:r>
        <w:t xml:space="preserve"/>
      </w:r>
    </w:p>
    <w:p>
      <w:pPr>
        <w:pStyle w:val="Heading2"/>
      </w:pPr>
      <w:r>
        <w:rPr>
          <w:rFonts w:ascii="Arial" w:cs="Arial" w:eastAsia="Arial" w:hAnsi="Arial"/>
          <w:b/>
          <w:bCs/>
          <w:sz w:val="28"/>
          <w:szCs w:val="28"/>
        </w:rPr>
        <w:t xml:space="preserve">3.2 Get Local Business Licenses</w:t>
      </w:r>
    </w:p>
    <w:p>
      <w:r>
        <w:rPr>
          <w:rFonts w:ascii="Arial" w:cs="Arial" w:eastAsia="Arial" w:hAnsi="Arial"/>
        </w:rPr>
        <w:t xml:space="preserve">Tennessee’s business license requirement is triggered by gross receipts:</w:t>
      </w:r>
    </w:p>
    <w:p>
      <w:pPr>
        <w:pStyle w:val="ListParagraph"/>
        <w:numPr>
          <w:ilvl w:val="0"/>
          <w:numId w:val="3"/>
        </w:numPr>
      </w:pPr>
      <w:r>
        <w:rPr>
          <w:rFonts w:ascii="Arial" w:cs="Arial" w:eastAsia="Arial" w:hAnsi="Arial"/>
        </w:rPr>
        <w:t xml:space="preserve">Under $3,000/yr: no license required.</w:t>
      </w:r>
    </w:p>
    <w:p>
      <w:pPr>
        <w:pStyle w:val="ListParagraph"/>
        <w:numPr>
          <w:ilvl w:val="0"/>
          <w:numId w:val="3"/>
        </w:numPr>
      </w:pPr>
      <w:r>
        <w:rPr>
          <w:rFonts w:ascii="Arial" w:cs="Arial" w:eastAsia="Arial" w:hAnsi="Arial"/>
        </w:rPr>
        <w:t xml:space="preserve">$3,000 to $100,000/yr: minimal activity license (around $15) from your county clerk and/or city clerk.</w:t>
      </w:r>
    </w:p>
    <w:p>
      <w:pPr>
        <w:pStyle w:val="ListParagraph"/>
        <w:numPr>
          <w:ilvl w:val="0"/>
          <w:numId w:val="3"/>
        </w:numPr>
      </w:pPr>
      <w:r>
        <w:rPr>
          <w:rFonts w:ascii="Arial" w:cs="Arial" w:eastAsia="Arial" w:hAnsi="Arial"/>
        </w:rPr>
        <w:t xml:space="preserve">Over $100,000/yr: standard business license + you’ll owe state business tax annually (~$22 minimum).</w:t>
      </w:r>
    </w:p>
    <w:p>
      <w:r>
        <w:rPr>
          <w:rFonts w:ascii="Arial" w:cs="Arial" w:eastAsia="Arial" w:hAnsi="Arial"/>
        </w:rPr>
        <w:t xml:space="preserve">Software/hardware businesses may also need: a state sales tax certificate if you sell taxable goods (most hardware sales, some software), and any specialty permits depending on what you build.</w:t>
      </w:r>
    </w:p>
    <w:p>
      <w:r>
        <w:t xml:space="preserve"/>
      </w:r>
    </w:p>
    <w:p>
      <w:pPr>
        <w:pStyle w:val="Heading2"/>
      </w:pPr>
      <w:r>
        <w:rPr>
          <w:rFonts w:ascii="Arial" w:cs="Arial" w:eastAsia="Arial" w:hAnsi="Arial"/>
          <w:b/>
          <w:bCs/>
          <w:sz w:val="28"/>
          <w:szCs w:val="28"/>
        </w:rPr>
        <w:t xml:space="preserve">3.3 Register for State Taxes</w:t>
      </w:r>
    </w:p>
    <w:p>
      <w:r>
        <w:rPr>
          <w:rFonts w:ascii="Arial" w:cs="Arial" w:eastAsia="Arial" w:hAnsi="Arial"/>
        </w:rPr>
        <w:t xml:space="preserve">Register with the Tennessee Department of Revenue via TNTAP (Tennessee Taxpayer Access Point).</w:t>
      </w:r>
    </w:p>
    <w:p>
      <w:pPr>
        <w:pStyle w:val="ListParagraph"/>
        <w:numPr>
          <w:ilvl w:val="0"/>
          <w:numId w:val="3"/>
        </w:numPr>
      </w:pPr>
      <w:r>
        <w:rPr>
          <w:rFonts w:ascii="Arial" w:cs="Arial" w:eastAsia="Arial" w:hAnsi="Arial"/>
        </w:rPr>
        <w:t xml:space="preserve">Franchise &amp; Excise tax: required for LLCs. Even disregarded single-member LLCs owe F&amp;E tax in Tennessee unless the single member is a corporation.</w:t>
      </w:r>
    </w:p>
    <w:p>
      <w:pPr>
        <w:pStyle w:val="ListParagraph"/>
        <w:numPr>
          <w:ilvl w:val="0"/>
          <w:numId w:val="3"/>
        </w:numPr>
      </w:pPr>
      <w:r>
        <w:rPr>
          <w:rFonts w:ascii="Arial" w:cs="Arial" w:eastAsia="Arial" w:hAnsi="Arial"/>
        </w:rPr>
        <w:t xml:space="preserve">Sales &amp; use tax: if selling tangible goods (hardware) or some taxable services. Most custom software development is NOT taxable, but pre-written software and SaaS in TN ARE generally taxable.</w:t>
      </w:r>
    </w:p>
    <w:p>
      <w:pPr>
        <w:pStyle w:val="ListParagraph"/>
        <w:numPr>
          <w:ilvl w:val="0"/>
          <w:numId w:val="3"/>
        </w:numPr>
      </w:pPr>
      <w:r>
        <w:rPr>
          <w:rFonts w:ascii="Arial" w:cs="Arial" w:eastAsia="Arial" w:hAnsi="Arial"/>
        </w:rPr>
        <w:t xml:space="preserve">Business tax: at state level, $22 minimum, if gross receipts exceed $100,000.</w:t>
      </w:r>
    </w:p>
    <w:p>
      <w:r>
        <w:t xml:space="preserve"/>
      </w:r>
    </w:p>
    <w:p>
      <w:r>
        <w:rPr>
          <w:rFonts w:ascii="Arial" w:cs="Arial" w:eastAsia="Arial" w:hAnsi="Arial"/>
        </w:rPr>
        <w:t xml:space="preserve">Direct link: </w:t>
      </w:r>
      <w:hyperlink w:history="1" r:id="rIdo24fb5zjrdqngs6spbbv-">
        <w:r>
          <w:rPr>
            <w:rStyle w:val="Hyperlink"/>
            <w:rFonts w:ascii="Arial" w:cs="Arial" w:eastAsia="Arial" w:hAnsi="Arial"/>
          </w:rPr>
          <w:t xml:space="preserve">TNTAP (TN Dept. of Revenue)</w:t>
        </w:r>
      </w:hyperlink>
    </w:p>
    <w:p>
      <w:r>
        <w:t xml:space="preserve"/>
      </w:r>
    </w:p>
    <w:p>
      <w:pPr>
        <w:pStyle w:val="Heading2"/>
      </w:pPr>
      <w:r>
        <w:rPr>
          <w:rFonts w:ascii="Arial" w:cs="Arial" w:eastAsia="Arial" w:hAnsi="Arial"/>
          <w:b/>
          <w:bCs/>
          <w:sz w:val="28"/>
          <w:szCs w:val="28"/>
        </w:rPr>
        <w:t xml:space="preserve">3.4 Set Up Bookkeeping</w:t>
      </w:r>
    </w:p>
    <w:p>
      <w:r>
        <w:rPr>
          <w:rFonts w:ascii="Arial" w:cs="Arial" w:eastAsia="Arial" w:hAnsi="Arial"/>
        </w:rPr>
        <w:t xml:space="preserve">Don’t skip this — it’s much cheaper than untangling a year of receipts in March. Pick something simple now.</w:t>
      </w:r>
    </w:p>
    <w:p>
      <w:pPr>
        <w:pStyle w:val="ListParagraph"/>
        <w:numPr>
          <w:ilvl w:val="0"/>
          <w:numId w:val="3"/>
        </w:numPr>
      </w:pPr>
      <w:r>
        <w:rPr>
          <w:rFonts w:ascii="Arial" w:cs="Arial" w:eastAsia="Arial" w:hAnsi="Arial"/>
        </w:rPr>
        <w:t xml:space="preserve">QuickBooks Online ($30–$90/mo) — most accountant-friendly.</w:t>
      </w:r>
    </w:p>
    <w:p>
      <w:pPr>
        <w:pStyle w:val="ListParagraph"/>
        <w:numPr>
          <w:ilvl w:val="0"/>
          <w:numId w:val="3"/>
        </w:numPr>
      </w:pPr>
      <w:r>
        <w:rPr>
          <w:rFonts w:ascii="Arial" w:cs="Arial" w:eastAsia="Arial" w:hAnsi="Arial"/>
        </w:rPr>
        <w:t xml:space="preserve">Wave (free) — solid for solo founders, basic features.</w:t>
      </w:r>
    </w:p>
    <w:p>
      <w:pPr>
        <w:pStyle w:val="ListParagraph"/>
        <w:numPr>
          <w:ilvl w:val="0"/>
          <w:numId w:val="3"/>
        </w:numPr>
      </w:pPr>
      <w:r>
        <w:rPr>
          <w:rFonts w:ascii="Arial" w:cs="Arial" w:eastAsia="Arial" w:hAnsi="Arial"/>
        </w:rPr>
        <w:t xml:space="preserve">Xero ($15–$78/mo) — clean UI, good integrations.</w:t>
      </w:r>
    </w:p>
    <w:p>
      <w:pPr>
        <w:pStyle w:val="ListParagraph"/>
        <w:numPr>
          <w:ilvl w:val="0"/>
          <w:numId w:val="3"/>
        </w:numPr>
      </w:pPr>
      <w:r>
        <w:rPr>
          <w:rFonts w:ascii="Arial" w:cs="Arial" w:eastAsia="Arial" w:hAnsi="Arial"/>
        </w:rPr>
        <w:t xml:space="preserve">FreshBooks (~$19+/mo) — strong for invoicing and time tracking.</w:t>
      </w:r>
    </w:p>
    <w:p>
      <w:r>
        <w:t xml:space="preserve"/>
      </w:r>
    </w:p>
    <w:p>
      <w:pPr>
        <w:pStyle w:val="Heading2"/>
      </w:pPr>
      <w:r>
        <w:rPr>
          <w:rFonts w:ascii="Arial" w:cs="Arial" w:eastAsia="Arial" w:hAnsi="Arial"/>
          <w:b/>
          <w:bCs/>
          <w:sz w:val="28"/>
          <w:szCs w:val="28"/>
        </w:rPr>
        <w:t xml:space="preserve">3.5 Insurance Considerations</w:t>
      </w:r>
    </w:p>
    <w:p>
      <w:r>
        <w:rPr>
          <w:rFonts w:ascii="Arial" w:cs="Arial" w:eastAsia="Arial" w:hAnsi="Arial"/>
        </w:rPr>
        <w:t xml:space="preserve">LLC protection covers business debts and lawsuits, but not bad business decisions. Consider:</w:t>
      </w:r>
    </w:p>
    <w:p>
      <w:pPr>
        <w:pStyle w:val="ListParagraph"/>
        <w:numPr>
          <w:ilvl w:val="0"/>
          <w:numId w:val="3"/>
        </w:numPr>
      </w:pPr>
      <w:r>
        <w:rPr>
          <w:rFonts w:ascii="Arial" w:cs="Arial" w:eastAsia="Arial" w:hAnsi="Arial"/>
        </w:rPr>
        <w:t xml:space="preserve">General liability insurance: $300–$800/yr. Covers third-party bodily injury and property damage.</w:t>
      </w:r>
    </w:p>
    <w:p>
      <w:pPr>
        <w:pStyle w:val="ListParagraph"/>
        <w:numPr>
          <w:ilvl w:val="0"/>
          <w:numId w:val="3"/>
        </w:numPr>
      </w:pPr>
      <w:r>
        <w:rPr>
          <w:rFonts w:ascii="Arial" w:cs="Arial" w:eastAsia="Arial" w:hAnsi="Arial"/>
        </w:rPr>
        <w:t xml:space="preserve">Professional liability / E&amp;O: critical for software and consulting work. ~$500–$1,500/yr.</w:t>
      </w:r>
    </w:p>
    <w:p>
      <w:pPr>
        <w:pStyle w:val="ListParagraph"/>
        <w:numPr>
          <w:ilvl w:val="0"/>
          <w:numId w:val="3"/>
        </w:numPr>
      </w:pPr>
      <w:r>
        <w:rPr>
          <w:rFonts w:ascii="Arial" w:cs="Arial" w:eastAsia="Arial" w:hAnsi="Arial"/>
        </w:rPr>
        <w:t xml:space="preserve">Product liability: important once you ship hardware to customers.</w:t>
      </w:r>
    </w:p>
    <w:p>
      <w:pPr>
        <w:pStyle w:val="ListParagraph"/>
        <w:numPr>
          <w:ilvl w:val="0"/>
          <w:numId w:val="3"/>
        </w:numPr>
      </w:pPr>
      <w:r>
        <w:rPr>
          <w:rFonts w:ascii="Arial" w:cs="Arial" w:eastAsia="Arial" w:hAnsi="Arial"/>
        </w:rPr>
        <w:t xml:space="preserve">Cyber liability: if you store customer data.</w:t>
      </w:r>
    </w:p>
    <w:p>
      <w:r>
        <w:br w:type="page"/>
      </w:r>
    </w:p>
    <w:p>
      <w:pPr>
        <w:pStyle w:val="Heading1"/>
      </w:pPr>
      <w:r>
        <w:rPr>
          <w:rFonts w:ascii="Arial" w:cs="Arial" w:eastAsia="Arial" w:hAnsi="Arial"/>
          <w:b/>
          <w:bCs/>
          <w:sz w:val="32"/>
          <w:szCs w:val="32"/>
        </w:rPr>
        <w:t xml:space="preserve">Phase 4: Ongoing Compliance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2E5A88" w:val="clear"/>
            <w:tcMar>
              <w:top w:type="dxa" w:w="100"/>
              <w:left w:type="dxa" w:w="140"/>
              <w:bottom w:type="dxa" w:w="100"/>
              <w:right w:type="dxa" w:w="140"/>
            </w:tcMar>
          </w:tcPr>
          <w:p>
            <w:r>
              <w:rPr>
                <w:rFonts w:ascii="Arial" w:cs="Arial" w:eastAsia="Arial" w:hAnsi="Arial"/>
                <w:b/>
                <w:bCs/>
                <w:color w:val="FFFFFF"/>
              </w:rPr>
              <w:t xml:space="preserve">When</w:t>
            </w:r>
          </w:p>
        </w:tc>
        <w:tc>
          <w:tcPr>
            <w:tcW w:type="dxa" w:w="3120"/>
            <w:tcBorders>
              <w:top w:val="single" w:color="999999" w:sz="4"/>
              <w:left w:val="single" w:color="999999" w:sz="4"/>
              <w:bottom w:val="single" w:color="999999" w:sz="4"/>
              <w:right w:val="single" w:color="999999" w:sz="4"/>
            </w:tcBorders>
            <w:shd w:fill="2E5A88" w:val="clear"/>
            <w:tcMar>
              <w:top w:type="dxa" w:w="100"/>
              <w:left w:type="dxa" w:w="140"/>
              <w:bottom w:type="dxa" w:w="100"/>
              <w:right w:type="dxa" w:w="140"/>
            </w:tcMar>
          </w:tcPr>
          <w:p>
            <w:r>
              <w:rPr>
                <w:rFonts w:ascii="Arial" w:cs="Arial" w:eastAsia="Arial" w:hAnsi="Arial"/>
                <w:b/>
                <w:bCs/>
                <w:color w:val="FFFFFF"/>
              </w:rPr>
              <w:t xml:space="preserve">What</w:t>
            </w:r>
          </w:p>
        </w:tc>
        <w:tc>
          <w:tcPr>
            <w:tcW w:type="dxa" w:w="3120"/>
            <w:tcBorders>
              <w:top w:val="single" w:color="999999" w:sz="4"/>
              <w:left w:val="single" w:color="999999" w:sz="4"/>
              <w:bottom w:val="single" w:color="999999" w:sz="4"/>
              <w:right w:val="single" w:color="999999" w:sz="4"/>
            </w:tcBorders>
            <w:shd w:fill="2E5A88" w:val="clear"/>
            <w:tcMar>
              <w:top w:type="dxa" w:w="100"/>
              <w:left w:type="dxa" w:w="140"/>
              <w:bottom w:type="dxa" w:w="100"/>
              <w:right w:type="dxa" w:w="140"/>
            </w:tcMar>
          </w:tcPr>
          <w:p>
            <w:r>
              <w:rPr>
                <w:rFonts w:ascii="Arial" w:cs="Arial" w:eastAsia="Arial" w:hAnsi="Arial"/>
                <w:b/>
                <w:bCs/>
                <w:color w:val="FFFFFF"/>
              </w:rPr>
              <w:t xml:space="preserve">Cost</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April 1 (or 1st day of 4th month after fiscal year end)</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TN Annual Report — file with TN SOS via TNCaB</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$300 minimum</w:t>
            </w:r>
          </w:p>
        </w:tc>
      </w:tr>
      <w:tr>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April 15 (calendar-year filers)</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TN Franchise &amp; Excise tax return + payment</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$100 min franchise + 6.5% of net earnings (less $50K deduction)</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April 15</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Federal Schedule C with personal 1040 (default tax treatment)</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Varies</w:t>
            </w:r>
          </w:p>
        </w:tc>
      </w:tr>
      <w:tr>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April 15, June 15, Sept 15, Jan 15</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Federal estimated quarterly tax payments</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Based on income</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Annually (county/city renewal date)</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Local business license renewal</w:t>
            </w:r>
          </w:p>
        </w:tc>
        <w:tc>
          <w:tcPr>
            <w:tcW w:type="dxa" w:w="3120"/>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tcPr>
          <w:p>
            <w:r>
              <w:rPr>
                <w:rFonts w:ascii="Arial" w:cs="Arial" w:eastAsia="Arial" w:hAnsi="Arial"/>
              </w:rPr>
              <w:t xml:space="preserve">Varies</w:t>
            </w:r>
          </w:p>
        </w:tc>
      </w:tr>
      <w:tr>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Within 60 days of any change</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Update registered agent, address, etc. with TN SOS</w:t>
            </w:r>
          </w:p>
        </w:tc>
        <w:tc>
          <w:tcPr>
            <w:tcW w:type="dxa" w:w="3120"/>
            <w:tcBorders>
              <w:top w:val="single" w:color="999999" w:sz="4"/>
              <w:left w:val="single" w:color="999999" w:sz="4"/>
              <w:bottom w:val="single" w:color="999999" w:sz="4"/>
              <w:right w:val="single" w:color="999999" w:sz="4"/>
            </w:tcBorders>
            <w:shd w:fill="F4F6F9" w:val="clear"/>
            <w:tcMar>
              <w:top w:type="dxa" w:w="80"/>
              <w:left w:type="dxa" w:w="140"/>
              <w:bottom w:type="dxa" w:w="80"/>
              <w:right w:type="dxa" w:w="140"/>
            </w:tcMar>
          </w:tcPr>
          <w:p>
            <w:r>
              <w:rPr>
                <w:rFonts w:ascii="Arial" w:cs="Arial" w:eastAsia="Arial" w:hAnsi="Arial"/>
              </w:rPr>
              <w:t xml:space="preserve">$20 amendment fee</w:t>
            </w:r>
          </w:p>
        </w:tc>
      </w:tr>
    </w:tbl>
    <w:p>
      <w:r>
        <w:t xml:space="preserve"/>
      </w:r>
    </w:p>
    <w:p>
      <w:r>
        <w:rPr>
          <w:rFonts w:ascii="Arial" w:cs="Arial" w:eastAsia="Arial" w:hAnsi="Arial"/>
        </w:rPr>
        <w:t xml:space="preserve">Calendar tip: set recurring reminders for the annual report deadline. Missing it leads to administrative dissolution by the state — which can put your personal liability protection at risk while you scramble to reinstate.</w:t>
      </w:r>
    </w:p>
    <w:p>
      <w:r>
        <w:br w:type="page"/>
      </w:r>
    </w:p>
    <w:p>
      <w:pPr>
        <w:pStyle w:val="Heading1"/>
      </w:pPr>
      <w:r>
        <w:rPr>
          <w:rFonts w:ascii="Arial" w:cs="Arial" w:eastAsia="Arial" w:hAnsi="Arial"/>
          <w:b/>
          <w:bCs/>
          <w:sz w:val="32"/>
          <w:szCs w:val="32"/>
        </w:rPr>
        <w:t xml:space="preserve">Tax Treatment for a Single-Member LLC</w:t>
      </w:r>
    </w:p>
    <w:p>
      <w:pPr>
        <w:pStyle w:val="Heading2"/>
      </w:pPr>
      <w:r>
        <w:rPr>
          <w:rFonts w:ascii="Arial" w:cs="Arial" w:eastAsia="Arial" w:hAnsi="Arial"/>
          <w:b/>
          <w:bCs/>
          <w:sz w:val="28"/>
          <w:szCs w:val="28"/>
        </w:rPr>
        <w:t xml:space="preserve">Federal</w:t>
      </w:r>
    </w:p>
    <w:p>
      <w:r>
        <w:rPr>
          <w:rFonts w:ascii="Arial" w:cs="Arial" w:eastAsia="Arial" w:hAnsi="Arial"/>
        </w:rPr>
        <w:t xml:space="preserve">By default, the IRS treats a single-member LLC as a “disregarded entity.” Practically:</w:t>
      </w:r>
    </w:p>
    <w:p>
      <w:pPr>
        <w:pStyle w:val="ListParagraph"/>
        <w:numPr>
          <w:ilvl w:val="0"/>
          <w:numId w:val="3"/>
        </w:numPr>
      </w:pPr>
      <w:r>
        <w:rPr>
          <w:rFonts w:ascii="Arial" w:cs="Arial" w:eastAsia="Arial" w:hAnsi="Arial"/>
        </w:rPr>
        <w:t xml:space="preserve">You report all business income/expenses on Schedule C of your personal Form 1040.</w:t>
      </w:r>
    </w:p>
    <w:p>
      <w:pPr>
        <w:pStyle w:val="ListParagraph"/>
        <w:numPr>
          <w:ilvl w:val="0"/>
          <w:numId w:val="3"/>
        </w:numPr>
      </w:pPr>
      <w:r>
        <w:rPr>
          <w:rFonts w:ascii="Arial" w:cs="Arial" w:eastAsia="Arial" w:hAnsi="Arial"/>
        </w:rPr>
        <w:t xml:space="preserve">You pay self-employment tax (15.3%) on net earnings.</w:t>
      </w:r>
    </w:p>
    <w:p>
      <w:pPr>
        <w:pStyle w:val="ListParagraph"/>
        <w:numPr>
          <w:ilvl w:val="0"/>
          <w:numId w:val="3"/>
        </w:numPr>
      </w:pPr>
      <w:r>
        <w:rPr>
          <w:rFonts w:ascii="Arial" w:cs="Arial" w:eastAsia="Arial" w:hAnsi="Arial"/>
        </w:rPr>
        <w:t xml:space="preserve">You make quarterly estimated tax payments throughout the year.</w:t>
      </w:r>
    </w:p>
    <w:p>
      <w:r>
        <w:t xml:space="preserve"/>
      </w:r>
    </w:p>
    <w:p>
      <w:r>
        <w:rPr>
          <w:rFonts w:ascii="Arial" w:cs="Arial" w:eastAsia="Arial" w:hAnsi="Arial"/>
        </w:rPr>
        <w:t xml:space="preserve">You can also elect to be taxed as an S-corporation by filing Form 2553 once net earnings are high enough (typically $40K–$80K+) to make the payroll/savings tradeoff worthwhile. Talk to a CPA before electing.</w:t>
      </w:r>
    </w:p>
    <w:p>
      <w:r>
        <w:t xml:space="preserve"/>
      </w:r>
    </w:p>
    <w:p>
      <w:pPr>
        <w:pStyle w:val="Heading2"/>
      </w:pPr>
      <w:r>
        <w:rPr>
          <w:rFonts w:ascii="Arial" w:cs="Arial" w:eastAsia="Arial" w:hAnsi="Arial"/>
          <w:b/>
          <w:bCs/>
          <w:sz w:val="28"/>
          <w:szCs w:val="28"/>
        </w:rPr>
        <w:t xml:space="preserve">Tennessee</w:t>
      </w:r>
    </w:p>
    <w:p>
      <w:r>
        <w:rPr>
          <w:rFonts w:ascii="Arial" w:cs="Arial" w:eastAsia="Arial" w:hAnsi="Arial"/>
        </w:rPr>
        <w:t xml:space="preserve">Tennessee has no personal income tax, which is great. BUT it does have franchise and excise tax on business entities:</w:t>
      </w:r>
    </w:p>
    <w:p>
      <w:pPr>
        <w:pStyle w:val="ListParagraph"/>
        <w:numPr>
          <w:ilvl w:val="0"/>
          <w:numId w:val="3"/>
        </w:numPr>
      </w:pPr>
      <w:r>
        <w:rPr>
          <w:rFonts w:ascii="Arial" w:cs="Arial" w:eastAsia="Arial" w:hAnsi="Arial"/>
        </w:rPr>
        <w:t xml:space="preserve">Franchise tax: 0.25% of TN-apportioned net worth (assets minus liabilities), $100 minimum.</w:t>
      </w:r>
    </w:p>
    <w:p>
      <w:pPr>
        <w:pStyle w:val="ListParagraph"/>
        <w:numPr>
          <w:ilvl w:val="0"/>
          <w:numId w:val="3"/>
        </w:numPr>
      </w:pPr>
      <w:r>
        <w:rPr>
          <w:rFonts w:ascii="Arial" w:cs="Arial" w:eastAsia="Arial" w:hAnsi="Arial"/>
        </w:rPr>
        <w:t xml:space="preserve">Excise tax: 6.5% of net taxable earnings, with a $50,000 standard deduction (so the first $50K of net earnings is excluded).</w:t>
      </w:r>
    </w:p>
    <w:p>
      <w:pPr>
        <w:pStyle w:val="ListParagraph"/>
        <w:numPr>
          <w:ilvl w:val="0"/>
          <w:numId w:val="3"/>
        </w:numPr>
      </w:pPr>
      <w:r>
        <w:rPr>
          <w:rFonts w:ascii="Arial" w:cs="Arial" w:eastAsia="Arial" w:hAnsi="Arial"/>
        </w:rPr>
        <w:t xml:space="preserve">Even though your single-member LLC is disregarded federally, it is NOT disregarded for TN F&amp;E tax unless your single member is a corporation. As an individual owner, you pay F&amp;E tax at the LLC level.</w:t>
      </w:r>
    </w:p>
    <w:p>
      <w:r>
        <w:t xml:space="preserve"/>
      </w:r>
    </w:p>
    <w:p>
      <w:r>
        <w:rPr>
          <w:rFonts w:ascii="Arial" w:cs="Arial" w:eastAsia="Arial" w:hAnsi="Arial"/>
        </w:rPr>
        <w:t xml:space="preserve">Effectively: budget for at least $100/yr in franchise tax even with no profit. Add excise tax once you’re profitable above $50K.</w:t>
      </w:r>
    </w:p>
    <w:p>
      <w:r>
        <w:br w:type="page"/>
      </w:r>
    </w:p>
    <w:p>
      <w:pPr>
        <w:pStyle w:val="Heading1"/>
      </w:pPr>
      <w:r>
        <w:rPr>
          <w:rFonts w:ascii="Arial" w:cs="Arial" w:eastAsia="Arial" w:hAnsi="Arial"/>
          <w:b/>
          <w:bCs/>
          <w:sz w:val="32"/>
          <w:szCs w:val="32"/>
        </w:rPr>
        <w:t xml:space="preserve">Special Considerations for Software &amp; Hardware</w:t>
      </w:r>
    </w:p>
    <w:p>
      <w:pPr>
        <w:pStyle w:val="Heading2"/>
      </w:pPr>
      <w:r>
        <w:rPr>
          <w:rFonts w:ascii="Arial" w:cs="Arial" w:eastAsia="Arial" w:hAnsi="Arial"/>
          <w:b/>
          <w:bCs/>
          <w:sz w:val="28"/>
          <w:szCs w:val="28"/>
        </w:rPr>
        <w:t xml:space="preserve">Intellectual Property</w:t>
      </w:r>
    </w:p>
    <w:p>
      <w:r>
        <w:rPr>
          <w:rFonts w:ascii="Arial" w:cs="Arial" w:eastAsia="Arial" w:hAnsi="Arial"/>
        </w:rPr>
        <w:t xml:space="preserve">Have the LLC own the IP, not you personally. Two patterns to follow from day one:</w:t>
      </w:r>
    </w:p>
    <w:p>
      <w:pPr>
        <w:pStyle w:val="ListParagraph"/>
        <w:numPr>
          <w:ilvl w:val="0"/>
          <w:numId w:val="3"/>
        </w:numPr>
      </w:pPr>
      <w:r>
        <w:rPr>
          <w:rFonts w:ascii="Arial" w:cs="Arial" w:eastAsia="Arial" w:hAnsi="Arial"/>
        </w:rPr>
        <w:t xml:space="preserve">IP Assignment: file a written assignment transferring all pre-existing IP (code, designs, prototypes) from you personally into Stone Tech, LLC. Without this, ownership can be ambiguous.</w:t>
      </w:r>
    </w:p>
    <w:p>
      <w:pPr>
        <w:pStyle w:val="ListParagraph"/>
        <w:numPr>
          <w:ilvl w:val="0"/>
          <w:numId w:val="3"/>
        </w:numPr>
      </w:pPr>
      <w:r>
        <w:rPr>
          <w:rFonts w:ascii="Arial" w:cs="Arial" w:eastAsia="Arial" w:hAnsi="Arial"/>
        </w:rPr>
        <w:t xml:space="preserve">Contractor agreements: any contractor you hire signs a work-for-hire agreement that assigns all output to the LLC. This is the single most common mistake first-time founders make.</w:t>
      </w:r>
    </w:p>
    <w:p>
      <w:r>
        <w:t xml:space="preserve"/>
      </w:r>
    </w:p>
    <w:p>
      <w:pPr>
        <w:pStyle w:val="Heading2"/>
      </w:pPr>
      <w:r>
        <w:rPr>
          <w:rFonts w:ascii="Arial" w:cs="Arial" w:eastAsia="Arial" w:hAnsi="Arial"/>
          <w:b/>
          <w:bCs/>
          <w:sz w:val="28"/>
          <w:szCs w:val="28"/>
        </w:rPr>
        <w:t xml:space="preserve">Hardware-Specific Items</w:t>
      </w:r>
    </w:p>
    <w:p>
      <w:pPr>
        <w:pStyle w:val="ListParagraph"/>
        <w:numPr>
          <w:ilvl w:val="0"/>
          <w:numId w:val="3"/>
        </w:numPr>
      </w:pPr>
      <w:r>
        <w:rPr>
          <w:rFonts w:ascii="Arial" w:cs="Arial" w:eastAsia="Arial" w:hAnsi="Arial"/>
        </w:rPr>
        <w:t xml:space="preserve">Product liability insurance becomes much more important once you ship physical goods.</w:t>
      </w:r>
    </w:p>
    <w:p>
      <w:pPr>
        <w:pStyle w:val="ListParagraph"/>
        <w:numPr>
          <w:ilvl w:val="0"/>
          <w:numId w:val="3"/>
        </w:numPr>
      </w:pPr>
      <w:r>
        <w:rPr>
          <w:rFonts w:ascii="Arial" w:cs="Arial" w:eastAsia="Arial" w:hAnsi="Arial"/>
        </w:rPr>
        <w:t xml:space="preserve">FCC certification for any device with intentional or unintentional RF emissions (Wi-Fi, Bluetooth, switching power supplies, etc.). Not optional if you sell in the US.</w:t>
      </w:r>
    </w:p>
    <w:p>
      <w:pPr>
        <w:pStyle w:val="ListParagraph"/>
        <w:numPr>
          <w:ilvl w:val="0"/>
          <w:numId w:val="3"/>
        </w:numPr>
      </w:pPr>
      <w:r>
        <w:rPr>
          <w:rFonts w:ascii="Arial" w:cs="Arial" w:eastAsia="Arial" w:hAnsi="Arial"/>
        </w:rPr>
        <w:t xml:space="preserve">UL or equivalent safety certification for anything that plugs into mains power.</w:t>
      </w:r>
    </w:p>
    <w:p>
      <w:pPr>
        <w:pStyle w:val="ListParagraph"/>
        <w:numPr>
          <w:ilvl w:val="0"/>
          <w:numId w:val="3"/>
        </w:numPr>
      </w:pPr>
      <w:r>
        <w:rPr>
          <w:rFonts w:ascii="Arial" w:cs="Arial" w:eastAsia="Arial" w:hAnsi="Arial"/>
        </w:rPr>
        <w:t xml:space="preserve">RoHS / CE if you intend to sell internationally.</w:t>
      </w:r>
    </w:p>
    <w:p>
      <w:pPr>
        <w:pStyle w:val="ListParagraph"/>
        <w:numPr>
          <w:ilvl w:val="0"/>
          <w:numId w:val="3"/>
        </w:numPr>
      </w:pPr>
      <w:r>
        <w:rPr>
          <w:rFonts w:ascii="Arial" w:cs="Arial" w:eastAsia="Arial" w:hAnsi="Arial"/>
        </w:rPr>
        <w:t xml:space="preserve">Sales tax: hardware is generally taxable. Register for a TN sales tax permit before your first sale.</w:t>
      </w:r>
    </w:p>
    <w:p>
      <w:pPr>
        <w:pStyle w:val="ListParagraph"/>
        <w:numPr>
          <w:ilvl w:val="0"/>
          <w:numId w:val="3"/>
        </w:numPr>
      </w:pPr>
      <w:r>
        <w:rPr>
          <w:rFonts w:ascii="Arial" w:cs="Arial" w:eastAsia="Arial" w:hAnsi="Arial"/>
        </w:rPr>
        <w:t xml:space="preserve">Inventory tracking: hardware has real COGS, so QuickBooks/Xero inventory features (or a tool like Cin7) matter from day one.</w:t>
      </w:r>
    </w:p>
    <w:p>
      <w:r>
        <w:t xml:space="preserve"/>
      </w:r>
    </w:p>
    <w:p>
      <w:pPr>
        <w:pStyle w:val="Heading2"/>
      </w:pPr>
      <w:r>
        <w:rPr>
          <w:rFonts w:ascii="Arial" w:cs="Arial" w:eastAsia="Arial" w:hAnsi="Arial"/>
          <w:b/>
          <w:bCs/>
          <w:sz w:val="28"/>
          <w:szCs w:val="28"/>
        </w:rPr>
        <w:t xml:space="preserve">Software-Specific Items</w:t>
      </w:r>
    </w:p>
    <w:p>
      <w:pPr>
        <w:pStyle w:val="ListParagraph"/>
        <w:numPr>
          <w:ilvl w:val="0"/>
          <w:numId w:val="3"/>
        </w:numPr>
      </w:pPr>
      <w:r>
        <w:rPr>
          <w:rFonts w:ascii="Arial" w:cs="Arial" w:eastAsia="Arial" w:hAnsi="Arial"/>
        </w:rPr>
        <w:t xml:space="preserve">In Tennessee, custom software development services are generally NOT taxable. Pre-written/canned software and SaaS sold to TN customers generally ARE taxable. Talk to a TN-licensed CPA before launch.</w:t>
      </w:r>
    </w:p>
    <w:p>
      <w:pPr>
        <w:pStyle w:val="ListParagraph"/>
        <w:numPr>
          <w:ilvl w:val="0"/>
          <w:numId w:val="3"/>
        </w:numPr>
      </w:pPr>
      <w:r>
        <w:rPr>
          <w:rFonts w:ascii="Arial" w:cs="Arial" w:eastAsia="Arial" w:hAnsi="Arial"/>
        </w:rPr>
        <w:t xml:space="preserve">Source code: keep it in private repos under the LLC’s GitHub/GitLab account, not your personal account.</w:t>
      </w:r>
    </w:p>
    <w:p>
      <w:pPr>
        <w:pStyle w:val="ListParagraph"/>
        <w:numPr>
          <w:ilvl w:val="0"/>
          <w:numId w:val="3"/>
        </w:numPr>
      </w:pPr>
      <w:r>
        <w:rPr>
          <w:rFonts w:ascii="Arial" w:cs="Arial" w:eastAsia="Arial" w:hAnsi="Arial"/>
        </w:rPr>
        <w:t xml:space="preserve">Open source: track licenses of dependencies. GPL/AGPL in particular can create downstream obligations.</w:t>
      </w:r>
    </w:p>
    <w:p>
      <w:pPr>
        <w:pStyle w:val="ListParagraph"/>
        <w:numPr>
          <w:ilvl w:val="0"/>
          <w:numId w:val="3"/>
        </w:numPr>
      </w:pPr>
      <w:r>
        <w:rPr>
          <w:rFonts w:ascii="Arial" w:cs="Arial" w:eastAsia="Arial" w:hAnsi="Arial"/>
        </w:rPr>
        <w:t xml:space="preserve">Privacy compliance: if you collect data from EU residents (GDPR), California residents (CCPA), or children (COPPA), you have legal obligations regardless of company size.</w:t>
      </w:r>
    </w:p>
    <w:p>
      <w:r>
        <w:t xml:space="preserve"/>
      </w:r>
    </w:p>
    <w:p>
      <w:pPr>
        <w:pStyle w:val="Heading2"/>
      </w:pPr>
      <w:r>
        <w:rPr>
          <w:rFonts w:ascii="Arial" w:cs="Arial" w:eastAsia="Arial" w:hAnsi="Arial"/>
          <w:b/>
          <w:bCs/>
          <w:sz w:val="28"/>
          <w:szCs w:val="28"/>
        </w:rPr>
        <w:t xml:space="preserve">DBA / Multiple Product Lines</w:t>
      </w:r>
    </w:p>
    <w:p>
      <w:r>
        <w:rPr>
          <w:rFonts w:ascii="Arial" w:cs="Arial" w:eastAsia="Arial" w:hAnsi="Arial"/>
        </w:rPr>
        <w:t xml:space="preserve">If Stone Tech eventually launches branded product lines (e.g., a hardware product called “Flint” and a software product called “Slate”), you don’t need separate LLCs. File assumed names (DBAs) for each brand under Stone Tech, LLC. Tennessee DBA filings are inexpensive (typically $20–$50 per name) and renewable every five years.</w:t>
      </w:r>
    </w:p>
    <w:p>
      <w:r>
        <w:br w:type="page"/>
      </w:r>
    </w:p>
    <w:p>
      <w:pPr>
        <w:pStyle w:val="Heading1"/>
      </w:pPr>
      <w:r>
        <w:rPr>
          <w:rFonts w:ascii="Arial" w:cs="Arial" w:eastAsia="Arial" w:hAnsi="Arial"/>
          <w:b/>
          <w:bCs/>
          <w:sz w:val="32"/>
          <w:szCs w:val="32"/>
        </w:rPr>
        <w:t xml:space="preserve">Quick-Start Checklist</w:t>
      </w:r>
    </w:p>
    <w:p>
      <w:r>
        <w:rPr>
          <w:rFonts w:ascii="Arial" w:cs="Arial" w:eastAsia="Arial" w:hAnsi="Arial"/>
        </w:rPr>
        <w:t xml:space="preserve">Print this and tick items off as you go.</w:t>
      </w:r>
    </w:p>
    <w:p>
      <w:r>
        <w:t xml:space="preserve"/>
      </w:r>
    </w:p>
    <w:p>
      <w:pPr>
        <w:pStyle w:val="Heading3"/>
      </w:pPr>
      <w:r>
        <w:rPr>
          <w:rFonts w:ascii="Arial" w:cs="Arial" w:eastAsia="Arial" w:hAnsi="Arial"/>
          <w:b/>
          <w:bCs/>
          <w:sz w:val="24"/>
          <w:szCs w:val="24"/>
        </w:rPr>
        <w:t xml:space="preserve">Pre-Formation</w:t>
      </w:r>
    </w:p>
    <w:p>
      <w:pPr>
        <w:pStyle w:val="ListParagraph"/>
        <w:numPr>
          <w:ilvl w:val="0"/>
          <w:numId w:val="3"/>
        </w:numPr>
      </w:pPr>
      <w:r>
        <w:rPr>
          <w:rFonts w:ascii="Arial" w:cs="Arial" w:eastAsia="Arial" w:hAnsi="Arial"/>
        </w:rPr>
        <w:t xml:space="preserve">Search “Stone Tech” on TN SOS business name database — confirm available.</w:t>
      </w:r>
    </w:p>
    <w:p>
      <w:pPr>
        <w:pStyle w:val="ListParagraph"/>
        <w:numPr>
          <w:ilvl w:val="0"/>
          <w:numId w:val="3"/>
        </w:numPr>
      </w:pPr>
      <w:r>
        <w:rPr>
          <w:rFonts w:ascii="Arial" w:cs="Arial" w:eastAsia="Arial" w:hAnsi="Arial"/>
        </w:rPr>
        <w:t xml:space="preserve">Search “Stone Tech” and “StoneTech” on USPTO TESS — no LIVE marks in Classes 9 / 42.</w:t>
      </w:r>
    </w:p>
    <w:p>
      <w:pPr>
        <w:pStyle w:val="ListParagraph"/>
        <w:numPr>
          <w:ilvl w:val="0"/>
          <w:numId w:val="3"/>
        </w:numPr>
      </w:pPr>
      <w:r>
        <w:rPr>
          <w:rFonts w:ascii="Arial" w:cs="Arial" w:eastAsia="Arial" w:hAnsi="Arial"/>
        </w:rPr>
        <w:t xml:space="preserve">Lock down domain (stonetech.[tld]) and social handles.</w:t>
      </w:r>
    </w:p>
    <w:p>
      <w:pPr>
        <w:pStyle w:val="ListParagraph"/>
        <w:numPr>
          <w:ilvl w:val="0"/>
          <w:numId w:val="3"/>
        </w:numPr>
      </w:pPr>
      <w:r>
        <w:rPr>
          <w:rFonts w:ascii="Arial" w:cs="Arial" w:eastAsia="Arial" w:hAnsi="Arial"/>
        </w:rPr>
        <w:t xml:space="preserve">Reserve name with TN SOS ($20) if you need more than a few days to file.</w:t>
      </w:r>
    </w:p>
    <w:p>
      <w:r>
        <w:t xml:space="preserve"/>
      </w:r>
    </w:p>
    <w:p>
      <w:pPr>
        <w:pStyle w:val="Heading3"/>
      </w:pPr>
      <w:r>
        <w:rPr>
          <w:rFonts w:ascii="Arial" w:cs="Arial" w:eastAsia="Arial" w:hAnsi="Arial"/>
          <w:b/>
          <w:bCs/>
          <w:sz w:val="24"/>
          <w:szCs w:val="24"/>
        </w:rPr>
        <w:t xml:space="preserve">Formation</w:t>
      </w:r>
    </w:p>
    <w:p>
      <w:pPr>
        <w:pStyle w:val="ListParagraph"/>
        <w:numPr>
          <w:ilvl w:val="0"/>
          <w:numId w:val="3"/>
        </w:numPr>
      </w:pPr>
      <w:r>
        <w:rPr>
          <w:rFonts w:ascii="Arial" w:cs="Arial" w:eastAsia="Arial" w:hAnsi="Arial"/>
        </w:rPr>
        <w:t xml:space="preserve">Decide on registered agent (self vs. service).</w:t>
      </w:r>
    </w:p>
    <w:p>
      <w:pPr>
        <w:pStyle w:val="ListParagraph"/>
        <w:numPr>
          <w:ilvl w:val="0"/>
          <w:numId w:val="3"/>
        </w:numPr>
      </w:pPr>
      <w:r>
        <w:rPr>
          <w:rFonts w:ascii="Arial" w:cs="Arial" w:eastAsia="Arial" w:hAnsi="Arial"/>
        </w:rPr>
        <w:t xml:space="preserve">File Articles of Organization via TNCaB ($300).</w:t>
      </w:r>
    </w:p>
    <w:p>
      <w:pPr>
        <w:pStyle w:val="ListParagraph"/>
        <w:numPr>
          <w:ilvl w:val="0"/>
          <w:numId w:val="3"/>
        </w:numPr>
      </w:pPr>
      <w:r>
        <w:rPr>
          <w:rFonts w:ascii="Arial" w:cs="Arial" w:eastAsia="Arial" w:hAnsi="Arial"/>
        </w:rPr>
        <w:t xml:space="preserve">Apply for EIN on IRS.gov (free, instant).</w:t>
      </w:r>
    </w:p>
    <w:p>
      <w:pPr>
        <w:pStyle w:val="ListParagraph"/>
        <w:numPr>
          <w:ilvl w:val="0"/>
          <w:numId w:val="3"/>
        </w:numPr>
      </w:pPr>
      <w:r>
        <w:rPr>
          <w:rFonts w:ascii="Arial" w:cs="Arial" w:eastAsia="Arial" w:hAnsi="Arial"/>
        </w:rPr>
        <w:t xml:space="preserve">Sign Operating Agreement, store in business records.</w:t>
      </w:r>
    </w:p>
    <w:p>
      <w:r>
        <w:t xml:space="preserve"/>
      </w:r>
    </w:p>
    <w:p>
      <w:pPr>
        <w:pStyle w:val="Heading3"/>
      </w:pPr>
      <w:r>
        <w:rPr>
          <w:rFonts w:ascii="Arial" w:cs="Arial" w:eastAsia="Arial" w:hAnsi="Arial"/>
          <w:b/>
          <w:bCs/>
          <w:sz w:val="24"/>
          <w:szCs w:val="24"/>
        </w:rPr>
        <w:t xml:space="preserve">Post-Formation</w:t>
      </w:r>
    </w:p>
    <w:p>
      <w:pPr>
        <w:pStyle w:val="ListParagraph"/>
        <w:numPr>
          <w:ilvl w:val="0"/>
          <w:numId w:val="3"/>
        </w:numPr>
      </w:pPr>
      <w:r>
        <w:rPr>
          <w:rFonts w:ascii="Arial" w:cs="Arial" w:eastAsia="Arial" w:hAnsi="Arial"/>
        </w:rPr>
        <w:t xml:space="preserve">Open business bank account.</w:t>
      </w:r>
    </w:p>
    <w:p>
      <w:pPr>
        <w:pStyle w:val="ListParagraph"/>
        <w:numPr>
          <w:ilvl w:val="0"/>
          <w:numId w:val="3"/>
        </w:numPr>
      </w:pPr>
      <w:r>
        <w:rPr>
          <w:rFonts w:ascii="Arial" w:cs="Arial" w:eastAsia="Arial" w:hAnsi="Arial"/>
        </w:rPr>
        <w:t xml:space="preserve">Set up bookkeeping software.</w:t>
      </w:r>
    </w:p>
    <w:p>
      <w:pPr>
        <w:pStyle w:val="ListParagraph"/>
        <w:numPr>
          <w:ilvl w:val="0"/>
          <w:numId w:val="3"/>
        </w:numPr>
      </w:pPr>
      <w:r>
        <w:rPr>
          <w:rFonts w:ascii="Arial" w:cs="Arial" w:eastAsia="Arial" w:hAnsi="Arial"/>
        </w:rPr>
        <w:t xml:space="preserve">Register for franchise/excise tax via TNTAP.</w:t>
      </w:r>
    </w:p>
    <w:p>
      <w:pPr>
        <w:pStyle w:val="ListParagraph"/>
        <w:numPr>
          <w:ilvl w:val="0"/>
          <w:numId w:val="3"/>
        </w:numPr>
      </w:pPr>
      <w:r>
        <w:rPr>
          <w:rFonts w:ascii="Arial" w:cs="Arial" w:eastAsia="Arial" w:hAnsi="Arial"/>
        </w:rPr>
        <w:t xml:space="preserve">Register for sales tax permit if applicable.</w:t>
      </w:r>
    </w:p>
    <w:p>
      <w:pPr>
        <w:pStyle w:val="ListParagraph"/>
        <w:numPr>
          <w:ilvl w:val="0"/>
          <w:numId w:val="3"/>
        </w:numPr>
      </w:pPr>
      <w:r>
        <w:rPr>
          <w:rFonts w:ascii="Arial" w:cs="Arial" w:eastAsia="Arial" w:hAnsi="Arial"/>
        </w:rPr>
        <w:t xml:space="preserve">Apply for local business license if gross receipts will exceed $3,000.</w:t>
      </w:r>
    </w:p>
    <w:p>
      <w:pPr>
        <w:pStyle w:val="ListParagraph"/>
        <w:numPr>
          <w:ilvl w:val="0"/>
          <w:numId w:val="3"/>
        </w:numPr>
      </w:pPr>
      <w:r>
        <w:rPr>
          <w:rFonts w:ascii="Arial" w:cs="Arial" w:eastAsia="Arial" w:hAnsi="Arial"/>
        </w:rPr>
        <w:t xml:space="preserve">Sign IP assignment from yourself to the LLC for any pre-existing work.</w:t>
      </w:r>
    </w:p>
    <w:p>
      <w:pPr>
        <w:pStyle w:val="ListParagraph"/>
        <w:numPr>
          <w:ilvl w:val="0"/>
          <w:numId w:val="3"/>
        </w:numPr>
      </w:pPr>
      <w:r>
        <w:rPr>
          <w:rFonts w:ascii="Arial" w:cs="Arial" w:eastAsia="Arial" w:hAnsi="Arial"/>
        </w:rPr>
        <w:t xml:space="preserve">Buy at least general liability + E&amp;O insurance.</w:t>
      </w:r>
    </w:p>
    <w:p>
      <w:r>
        <w:t xml:space="preserve"/>
      </w:r>
    </w:p>
    <w:p>
      <w:pPr>
        <w:pStyle w:val="Heading3"/>
      </w:pPr>
      <w:r>
        <w:rPr>
          <w:rFonts w:ascii="Arial" w:cs="Arial" w:eastAsia="Arial" w:hAnsi="Arial"/>
          <w:b/>
          <w:bCs/>
          <w:sz w:val="24"/>
          <w:szCs w:val="24"/>
        </w:rPr>
        <w:t xml:space="preserve">Ongoing</w:t>
      </w:r>
    </w:p>
    <w:p>
      <w:pPr>
        <w:pStyle w:val="ListParagraph"/>
        <w:numPr>
          <w:ilvl w:val="0"/>
          <w:numId w:val="3"/>
        </w:numPr>
      </w:pPr>
      <w:r>
        <w:rPr>
          <w:rFonts w:ascii="Arial" w:cs="Arial" w:eastAsia="Arial" w:hAnsi="Arial"/>
        </w:rPr>
        <w:t xml:space="preserve">Calendar the April 1 annual report deadline.</w:t>
      </w:r>
    </w:p>
    <w:p>
      <w:pPr>
        <w:pStyle w:val="ListParagraph"/>
        <w:numPr>
          <w:ilvl w:val="0"/>
          <w:numId w:val="3"/>
        </w:numPr>
      </w:pPr>
      <w:r>
        <w:rPr>
          <w:rFonts w:ascii="Arial" w:cs="Arial" w:eastAsia="Arial" w:hAnsi="Arial"/>
        </w:rPr>
        <w:t xml:space="preserve">Calendar quarterly estimated tax payments.</w:t>
      </w:r>
    </w:p>
    <w:p>
      <w:pPr>
        <w:pStyle w:val="ListParagraph"/>
        <w:numPr>
          <w:ilvl w:val="0"/>
          <w:numId w:val="3"/>
        </w:numPr>
      </w:pPr>
      <w:r>
        <w:rPr>
          <w:rFonts w:ascii="Arial" w:cs="Arial" w:eastAsia="Arial" w:hAnsi="Arial"/>
        </w:rPr>
        <w:t xml:space="preserve">Keep personal and business finances strictly separated.</w:t>
      </w:r>
    </w:p>
    <w:p>
      <w:pPr>
        <w:pStyle w:val="ListParagraph"/>
        <w:numPr>
          <w:ilvl w:val="0"/>
          <w:numId w:val="3"/>
        </w:numPr>
      </w:pPr>
      <w:r>
        <w:rPr>
          <w:rFonts w:ascii="Arial" w:cs="Arial" w:eastAsia="Arial" w:hAnsi="Arial"/>
        </w:rPr>
        <w:t xml:space="preserve">Sign contractors to work-for-hire agreements before any work begins.</w:t>
      </w:r>
    </w:p>
    <w:p>
      <w:r>
        <w:t xml:space="preserve"/>
      </w:r>
    </w:p>
    <w:p>
      <w:r>
        <w:t xml:space="preserve"/>
      </w:r>
    </w:p>
    <w:p>
      <w:pPr>
        <w:rPr>
          <w:i/>
          <w:iCs/>
          <w:color w:val="777777"/>
          <w:sz w:val="20"/>
          <w:szCs w:val="20"/>
        </w:rPr>
      </w:pPr>
      <w:r>
        <w:rPr>
          <w:rFonts w:ascii="Arial" w:cs="Arial" w:eastAsia="Arial" w:hAnsi="Arial"/>
          <w:i/>
          <w:iCs/>
          <w:color w:val="777777"/>
          <w:sz w:val="20"/>
          <w:szCs w:val="20"/>
        </w:rPr>
        <w:t xml:space="preserve">Disclaimer: This guide is informational and based on publicly available Tennessee and federal sources as of May 2026. Fees and processes can change. For specifics on franchise/excise tax, sales tax on software, or S-corp election, consult a Tennessee-licensed CPA. For IP assignment, contractor agreements, and trademark applications, consult an attorney.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Stone Tech, LLC — Tennessee Formation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A88"/>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pf7ofvbntdoazz6oghn9" Type="http://schemas.openxmlformats.org/officeDocument/2006/relationships/hyperlink" Target="https://sos.tn.gov/products/business-services/search-business-name-availability" TargetMode="External"/><Relationship Id="rIdlrs7lb5y_y6huxiqq48hn" Type="http://schemas.openxmlformats.org/officeDocument/2006/relationships/hyperlink" Target="https://tmsearch.uspto.gov/" TargetMode="External"/><Relationship Id="rIdshcwqhsomm_xcvbhgsxpi" Type="http://schemas.openxmlformats.org/officeDocument/2006/relationships/hyperlink" Target="https://tncab.tnsos.gov/business-entity" TargetMode="External"/><Relationship Id="rId25hrsbby4pzwzxikc4ziq" Type="http://schemas.openxmlformats.org/officeDocument/2006/relationships/hyperlink" Target="https://www.irs.gov/businesses/small-businesses-self-employed/apply-for-an-employer-identification-number-ein-online" TargetMode="External"/><Relationship Id="rIdo24fb5zjrdqngs6spbbv-" Type="http://schemas.openxmlformats.org/officeDocument/2006/relationships/hyperlink" Target="https://tntap.tn.gov/"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2026-05-23T00:00:00.061Z</dcterms:created>
  <dcterms:modified xsi:type="dcterms:W3CDTF">2026-05-23T00:00:00.061Z</dcterms:modified>
</cp:coreProperties>
</file>

<file path=docProps/custom.xml><?xml version="1.0" encoding="utf-8"?>
<Properties xmlns="http://schemas.openxmlformats.org/officeDocument/2006/custom-properties" xmlns:vt="http://schemas.openxmlformats.org/officeDocument/2006/docPropsVTypes"/>
</file>