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27E1" w14:textId="151E869D" w:rsidR="00FF6E2E" w:rsidRPr="004C2B2A" w:rsidRDefault="00FF6E2E" w:rsidP="000D773A">
      <w:r w:rsidRPr="004C2B2A">
        <w:t>Jackson Strand</w:t>
      </w:r>
      <w:r w:rsidR="00854A88">
        <w:t xml:space="preserve"> (</w:t>
      </w:r>
      <w:hyperlink r:id="rId8" w:history="1">
        <w:r w:rsidR="00854A88" w:rsidRPr="00722848">
          <w:rPr>
            <w:rStyle w:val="Hyperlink"/>
            <w:rFonts w:eastAsia="Times New Roman"/>
          </w:rPr>
          <w:t>ORCID 0009-0005-8827-021X</w:t>
        </w:r>
      </w:hyperlink>
      <w:r w:rsidR="00854A88" w:rsidRPr="6EDED1DB">
        <w:rPr>
          <w:color w:val="000000" w:themeColor="text1"/>
        </w:rPr>
        <w:t>)</w:t>
      </w:r>
    </w:p>
    <w:p w14:paraId="7D7CFD74" w14:textId="5C50087F" w:rsidR="00FF6E2E" w:rsidRDefault="004C2B2A" w:rsidP="000D773A">
      <w:r w:rsidRPr="004C2B2A">
        <w:t>Montana State University</w:t>
      </w:r>
    </w:p>
    <w:p w14:paraId="5EFE6CC8" w14:textId="3C529D9E" w:rsidR="004C2B2A" w:rsidRDefault="004C2B2A" w:rsidP="000D773A">
      <w:r>
        <w:t>332 Leon Johnson Hall,</w:t>
      </w:r>
    </w:p>
    <w:p w14:paraId="6472BF27" w14:textId="697BD136" w:rsidR="004C2B2A" w:rsidRDefault="004C2B2A" w:rsidP="000D773A">
      <w:r>
        <w:t>Bozeman, MT</w:t>
      </w:r>
      <w:r w:rsidR="00854A88">
        <w:t xml:space="preserve"> 59717</w:t>
      </w:r>
    </w:p>
    <w:p w14:paraId="02CC81D5" w14:textId="5B3D41A3" w:rsidR="00854A88" w:rsidRPr="004C2B2A" w:rsidRDefault="00854A88" w:rsidP="000D773A">
      <w:r>
        <w:t xml:space="preserve">e-mail: </w:t>
      </w:r>
      <w:hyperlink r:id="rId9" w:history="1">
        <w:r w:rsidRPr="004F0BD4">
          <w:rPr>
            <w:rStyle w:val="Hyperlink"/>
          </w:rPr>
          <w:t>jstrand894@gmail.com</w:t>
        </w:r>
      </w:hyperlink>
    </w:p>
    <w:p w14:paraId="3F8F09F1" w14:textId="77777777" w:rsidR="00FF6E2E" w:rsidRDefault="00FF6E2E" w:rsidP="000D773A">
      <w:pPr>
        <w:rPr>
          <w:b/>
          <w:bCs/>
        </w:rPr>
      </w:pPr>
    </w:p>
    <w:p w14:paraId="16173429" w14:textId="085B1762" w:rsidR="0021125B" w:rsidRDefault="00DF0552" w:rsidP="000D773A">
      <w:pPr>
        <w:rPr>
          <w:b/>
          <w:bCs/>
        </w:rPr>
      </w:pPr>
      <w:r w:rsidRPr="00DF0552">
        <w:rPr>
          <w:b/>
          <w:bCs/>
        </w:rPr>
        <w:t>Volatile plasticity and localized alkaloids reveal a commensal locoweed–endophyte symbiosis</w:t>
      </w:r>
    </w:p>
    <w:p w14:paraId="554BD760" w14:textId="77777777" w:rsidR="00DF0552" w:rsidRDefault="00DF0552" w:rsidP="000D773A"/>
    <w:p w14:paraId="04FC1F54" w14:textId="2D07B75A" w:rsidR="002D5EAA" w:rsidRDefault="002D5EAA" w:rsidP="000D773A">
      <w:r>
        <w:t xml:space="preserve">Running title: </w:t>
      </w:r>
      <w:r>
        <w:t>Volatile plasticity in a commensal locoweed symbiosis</w:t>
      </w:r>
    </w:p>
    <w:p w14:paraId="262C3198" w14:textId="77777777" w:rsidR="002D5EAA" w:rsidRDefault="002D5EAA" w:rsidP="000D773A"/>
    <w:p w14:paraId="3334EE75" w14:textId="0202815E" w:rsidR="7FDA3BE8" w:rsidRDefault="7FDA3BE8" w:rsidP="000D773A">
      <w:pPr>
        <w:rPr>
          <w:vertAlign w:val="superscript"/>
        </w:rPr>
      </w:pPr>
      <w:r>
        <w:t>Jackson</w:t>
      </w:r>
      <w:r w:rsidR="00387741">
        <w:t xml:space="preserve"> R.</w:t>
      </w:r>
      <w:r>
        <w:t xml:space="preserve"> Strand</w:t>
      </w:r>
      <w:r w:rsidRPr="343A3B7A">
        <w:rPr>
          <w:vertAlign w:val="superscript"/>
        </w:rPr>
        <w:t>1</w:t>
      </w:r>
      <w:r>
        <w:t xml:space="preserve">, Laura </w:t>
      </w:r>
      <w:r w:rsidR="00A165C3">
        <w:t xml:space="preserve">A. </w:t>
      </w:r>
      <w:r>
        <w:t>Burkle</w:t>
      </w:r>
      <w:r w:rsidRPr="343A3B7A">
        <w:rPr>
          <w:vertAlign w:val="superscript"/>
        </w:rPr>
        <w:t>2</w:t>
      </w:r>
      <w:r>
        <w:t>, Daniel Cook</w:t>
      </w:r>
      <w:r w:rsidRPr="343A3B7A">
        <w:rPr>
          <w:vertAlign w:val="superscript"/>
        </w:rPr>
        <w:t>3</w:t>
      </w:r>
      <w:r>
        <w:t>, Barbara Keith</w:t>
      </w:r>
      <w:r w:rsidRPr="343A3B7A">
        <w:rPr>
          <w:vertAlign w:val="superscript"/>
        </w:rPr>
        <w:t>4</w:t>
      </w:r>
      <w:r>
        <w:t>, Rosie Wallander</w:t>
      </w:r>
      <w:r w:rsidRPr="343A3B7A">
        <w:rPr>
          <w:vertAlign w:val="superscript"/>
        </w:rPr>
        <w:t>5</w:t>
      </w:r>
      <w:r>
        <w:t xml:space="preserve">, David </w:t>
      </w:r>
      <w:r w:rsidR="00A23E39">
        <w:t xml:space="preserve">K. </w:t>
      </w:r>
      <w:r>
        <w:t>Weaver</w:t>
      </w:r>
      <w:r w:rsidRPr="343A3B7A">
        <w:rPr>
          <w:vertAlign w:val="superscript"/>
        </w:rPr>
        <w:t>6</w:t>
      </w:r>
      <w:r>
        <w:t>, and Tracy M. Sterling</w:t>
      </w:r>
      <w:r w:rsidRPr="343A3B7A">
        <w:rPr>
          <w:vertAlign w:val="superscript"/>
        </w:rPr>
        <w:t>6</w:t>
      </w:r>
    </w:p>
    <w:p w14:paraId="4D66445E" w14:textId="77777777" w:rsidR="004F0BD4" w:rsidRDefault="004F0BD4" w:rsidP="000D773A"/>
    <w:p w14:paraId="1E042099" w14:textId="4D5E997B" w:rsidR="7FDA3BE8" w:rsidRDefault="7FDA3BE8" w:rsidP="000D773A">
      <w:r w:rsidRPr="6EDED1DB">
        <w:rPr>
          <w:vertAlign w:val="superscript"/>
        </w:rPr>
        <w:t xml:space="preserve">1 </w:t>
      </w:r>
      <w:r w:rsidRPr="6EDED1DB">
        <w:t>Graduate Student, Department of Land Resources and Environmental Sciences, Montana State University, Bozeman MT, USA</w:t>
      </w:r>
    </w:p>
    <w:p w14:paraId="166D7DB6" w14:textId="1721E050" w:rsidR="7FDA3BE8" w:rsidRDefault="7FDA3BE8" w:rsidP="000D773A">
      <w:r w:rsidRPr="6EDED1DB">
        <w:rPr>
          <w:vertAlign w:val="superscript"/>
        </w:rPr>
        <w:t xml:space="preserve">2 </w:t>
      </w:r>
      <w:r w:rsidRPr="6EDED1DB">
        <w:t xml:space="preserve">Professor, Department of Ecology, Montana State University, Bozeman MT, USA </w:t>
      </w:r>
    </w:p>
    <w:p w14:paraId="4E8C2830" w14:textId="4290C920" w:rsidR="7FDA3BE8" w:rsidRDefault="7FDA3BE8" w:rsidP="000D773A">
      <w:r w:rsidRPr="6EDED1DB">
        <w:rPr>
          <w:vertAlign w:val="superscript"/>
        </w:rPr>
        <w:t xml:space="preserve">3 </w:t>
      </w:r>
      <w:r w:rsidRPr="6EDED1DB">
        <w:t>Research Plant Physiologist, USDA-ARS Poisonous Plant Research Laboratory, Logan UT, USA</w:t>
      </w:r>
    </w:p>
    <w:p w14:paraId="6016AD04" w14:textId="1F1E9008" w:rsidR="7FDA3BE8" w:rsidRDefault="7FDA3BE8" w:rsidP="000D773A">
      <w:r w:rsidRPr="6EDED1DB">
        <w:rPr>
          <w:vertAlign w:val="superscript"/>
        </w:rPr>
        <w:t xml:space="preserve">4 </w:t>
      </w:r>
      <w:r w:rsidRPr="6EDED1DB">
        <w:t xml:space="preserve">Research Professor, Department of Land Resources and Environmental Sciences, Montana State University, Bozeman MT, USA </w:t>
      </w:r>
    </w:p>
    <w:p w14:paraId="6754CA9D" w14:textId="2D74A3B8" w:rsidR="7FDA3BE8" w:rsidRDefault="7FDA3BE8" w:rsidP="000D773A">
      <w:r w:rsidRPr="6EDED1DB">
        <w:rPr>
          <w:vertAlign w:val="superscript"/>
        </w:rPr>
        <w:t xml:space="preserve">5 </w:t>
      </w:r>
      <w:r w:rsidRPr="6EDED1DB">
        <w:t xml:space="preserve">Research Scientist, Department of Land Resources and Environmental Sciences, Montana State University, Bozeman MT, USA </w:t>
      </w:r>
    </w:p>
    <w:p w14:paraId="762CBE9C" w14:textId="25F2CD29" w:rsidR="00094299" w:rsidRPr="004F0BD4" w:rsidRDefault="7FDA3BE8" w:rsidP="00094299">
      <w:r w:rsidRPr="6EDED1DB">
        <w:rPr>
          <w:vertAlign w:val="superscript"/>
        </w:rPr>
        <w:lastRenderedPageBreak/>
        <w:t xml:space="preserve">6 </w:t>
      </w:r>
      <w:r w:rsidRPr="6EDED1DB">
        <w:t xml:space="preserve">Professor, Department of Land Resources and Environmental Sciences, Montana State University, Bozeman MT, USA </w:t>
      </w:r>
      <w:r w:rsidR="00094299" w:rsidRPr="005504B0">
        <w:rPr>
          <w:b/>
          <w:bCs/>
          <w:lang w:val="it-IT"/>
        </w:rPr>
        <w:br w:type="page"/>
      </w:r>
    </w:p>
    <w:p w14:paraId="361ADF73" w14:textId="28F3D658" w:rsidR="000F4599" w:rsidRPr="00094299" w:rsidRDefault="00C25DE5" w:rsidP="007061BD">
      <w:pPr>
        <w:pStyle w:val="Heading1"/>
      </w:pPr>
      <w:r w:rsidRPr="00094299">
        <w:lastRenderedPageBreak/>
        <w:t>ABSTRACT</w:t>
      </w:r>
    </w:p>
    <w:p w14:paraId="14135CB3" w14:textId="4C166BA3" w:rsidR="00607BF6" w:rsidRDefault="007713F4" w:rsidP="009C1226">
      <w:pPr>
        <w:ind w:firstLine="720"/>
      </w:pPr>
      <w:r w:rsidRPr="007713F4">
        <w:t xml:space="preserve">The fungus </w:t>
      </w:r>
      <w:proofErr w:type="spellStart"/>
      <w:r w:rsidRPr="007713F4">
        <w:rPr>
          <w:i/>
          <w:iCs/>
        </w:rPr>
        <w:t>Undifilum</w:t>
      </w:r>
      <w:proofErr w:type="spellEnd"/>
      <w:r w:rsidRPr="007713F4">
        <w:rPr>
          <w:i/>
          <w:iCs/>
        </w:rPr>
        <w:t xml:space="preserve"> oxytropis</w:t>
      </w:r>
      <w:r w:rsidRPr="007713F4">
        <w:t xml:space="preserve"> vertically transmits through silky crazyweed (</w:t>
      </w:r>
      <w:r w:rsidRPr="007713F4">
        <w:rPr>
          <w:i/>
          <w:iCs/>
        </w:rPr>
        <w:t>Oxytropis sericea</w:t>
      </w:r>
      <w:r w:rsidRPr="007713F4">
        <w:t xml:space="preserve"> Nutt.) and produces the neurotoxin swainsonine, yet its influence on host chemical signaling remains unclear. </w:t>
      </w:r>
      <w:r w:rsidR="00BC5BD5">
        <w:t xml:space="preserve">Here, we characterize the </w:t>
      </w:r>
      <w:r w:rsidR="00FF2D08">
        <w:t>floral and foliar volatile</w:t>
      </w:r>
      <w:r w:rsidR="006B2E89">
        <w:t xml:space="preserve"> organic compounds (</w:t>
      </w:r>
      <w:r w:rsidR="00BC5BD5">
        <w:t>VOC</w:t>
      </w:r>
      <w:r w:rsidR="006B2E89">
        <w:t>)</w:t>
      </w:r>
      <w:r w:rsidR="00BC5BD5">
        <w:t xml:space="preserve"> profiles of </w:t>
      </w:r>
      <w:r w:rsidR="00BC5BD5" w:rsidRPr="60B32418">
        <w:rPr>
          <w:i/>
          <w:iCs/>
        </w:rPr>
        <w:t xml:space="preserve">O. sericea </w:t>
      </w:r>
      <w:r w:rsidR="00BC5BD5">
        <w:t xml:space="preserve">plants </w:t>
      </w:r>
      <w:r w:rsidR="00BC5BD5" w:rsidRPr="003E5A13">
        <w:t xml:space="preserve">with </w:t>
      </w:r>
      <w:r w:rsidR="00CB722E">
        <w:t>the</w:t>
      </w:r>
      <w:r w:rsidR="00BC5BD5" w:rsidRPr="003E5A13">
        <w:t xml:space="preserve"> fungal-endophyte (E+) and plants from which the fungal endophyte </w:t>
      </w:r>
      <w:r w:rsidR="00CB722E">
        <w:t>was</w:t>
      </w:r>
      <w:r w:rsidR="00BC5BD5" w:rsidRPr="003E5A13">
        <w:t xml:space="preserve"> mechanically removed (E-). </w:t>
      </w:r>
      <w:r w:rsidR="00EE17B0">
        <w:t>U</w:t>
      </w:r>
      <w:r w:rsidR="00BC5BD5">
        <w:t>sing</w:t>
      </w:r>
      <w:r w:rsidR="00D14EDB">
        <w:t xml:space="preserve"> dynamic</w:t>
      </w:r>
      <w:r w:rsidR="00BC5BD5">
        <w:t xml:space="preserve"> headspace GC-MS on greenhouse- and field-grown plants</w:t>
      </w:r>
      <w:r w:rsidRPr="007713F4">
        <w:t xml:space="preserve">, providing the first characterization of </w:t>
      </w:r>
      <w:r w:rsidRPr="002C4E35">
        <w:rPr>
          <w:i/>
          <w:iCs/>
        </w:rPr>
        <w:t>O. sericea</w:t>
      </w:r>
      <w:r w:rsidRPr="007713F4">
        <w:t xml:space="preserve"> volatile profiles. </w:t>
      </w:r>
      <w:r w:rsidR="00174625">
        <w:t>Pair</w:t>
      </w:r>
      <w:r w:rsidR="00B67AAD">
        <w:t xml:space="preserve"> identity</w:t>
      </w:r>
      <w:r w:rsidRPr="007713F4">
        <w:t xml:space="preserve"> explained the majority of VOC variance (</w:t>
      </w:r>
      <w:r w:rsidR="00B856D1">
        <w:t>78.9</w:t>
      </w:r>
      <w:r w:rsidRPr="007713F4">
        <w:t>% and 6</w:t>
      </w:r>
      <w:r w:rsidR="00D87602">
        <w:t>4.9</w:t>
      </w:r>
      <w:r w:rsidRPr="007713F4">
        <w:t xml:space="preserve">%, respectively), far exceeding the negligible effect of endophyte infection (&lt;1%). VOC composition varied strongly with </w:t>
      </w:r>
      <w:r w:rsidR="00067626">
        <w:t xml:space="preserve">plant pair identity, </w:t>
      </w:r>
      <w:r w:rsidRPr="007713F4">
        <w:t>tissue type, and year, but not infection status</w:t>
      </w:r>
      <w:r w:rsidR="00702A83">
        <w:t xml:space="preserve"> and</w:t>
      </w:r>
      <w:r w:rsidRPr="007713F4">
        <w:t xml:space="preserve"> seven volatiles ((</w:t>
      </w:r>
      <w:r w:rsidRPr="002C4E35">
        <w:rPr>
          <w:i/>
          <w:iCs/>
        </w:rPr>
        <w:t>Z</w:t>
      </w:r>
      <w:r w:rsidRPr="007713F4">
        <w:t xml:space="preserve">)-3-hexenyl acetate, 6-methyl-5-hepten-2-one, decanal, methyl salicylate, nonanal, octanal, β-ocimene) were consistently detected across greenhouse and field environments. </w:t>
      </w:r>
      <w:r w:rsidR="001B39A0">
        <w:t xml:space="preserve">Ancillary nectar assays and pollinator observations revealed no consistent differences between E+ and E- plants, reinforcing the chemical neutrality of the symbiosis. </w:t>
      </w:r>
      <w:r w:rsidR="00EE17B0">
        <w:t>S</w:t>
      </w:r>
      <w:r w:rsidRPr="007713F4">
        <w:t>wainsonine</w:t>
      </w:r>
      <w:r w:rsidR="00CB2F86">
        <w:t xml:space="preserve"> content was </w:t>
      </w:r>
      <w:r w:rsidR="00070B87">
        <w:t>10-fold higher in leaves compared to flower parts</w:t>
      </w:r>
      <w:r w:rsidRPr="007713F4">
        <w:t xml:space="preserve"> (calyx: 0.</w:t>
      </w:r>
      <w:r w:rsidR="00F8668F">
        <w:t>172</w:t>
      </w:r>
      <w:r w:rsidRPr="007713F4">
        <w:t xml:space="preserve"> ± 0.01% dry mass; nectar &lt;0.00</w:t>
      </w:r>
      <w:r w:rsidR="00F8668F">
        <w:t>005</w:t>
      </w:r>
      <w:r w:rsidRPr="007713F4">
        <w:t xml:space="preserve">%), suggesting </w:t>
      </w:r>
      <w:r w:rsidR="00070B87">
        <w:t xml:space="preserve">any </w:t>
      </w:r>
      <w:r w:rsidRPr="007713F4">
        <w:t>localized chemical defense</w:t>
      </w:r>
      <w:r w:rsidR="00070B87">
        <w:t xml:space="preserve"> is</w:t>
      </w:r>
      <w:r w:rsidRPr="007713F4">
        <w:t xml:space="preserve"> decoupled from scent chemistry. Together, these findings demonstrate that </w:t>
      </w:r>
      <w:r w:rsidR="00067626">
        <w:t>endophyte presence</w:t>
      </w:r>
      <w:r w:rsidR="002A39E9">
        <w:t xml:space="preserve"> had negligible influence on</w:t>
      </w:r>
      <w:r w:rsidRPr="007713F4">
        <w:t xml:space="preserve"> volatile signaling in </w:t>
      </w:r>
      <w:r w:rsidRPr="00761CA6">
        <w:rPr>
          <w:i/>
          <w:iCs/>
        </w:rPr>
        <w:t>O. sericea</w:t>
      </w:r>
      <w:r w:rsidRPr="007713F4">
        <w:t xml:space="preserve">, </w:t>
      </w:r>
      <w:r w:rsidR="003A4A08">
        <w:t xml:space="preserve">while plant pair identity – likely reflecting fine-scale environmental or individual-level variation not directly measured here </w:t>
      </w:r>
      <w:r w:rsidR="006C79C2">
        <w:t>–</w:t>
      </w:r>
      <w:r w:rsidR="003A4A08">
        <w:t xml:space="preserve"> </w:t>
      </w:r>
      <w:r w:rsidR="006C79C2">
        <w:t xml:space="preserve">dominated VOC composition. </w:t>
      </w:r>
      <w:r w:rsidRPr="007713F4">
        <w:t>Th</w:t>
      </w:r>
      <w:r w:rsidR="00C00A9C">
        <w:t>ese findings</w:t>
      </w:r>
      <w:r w:rsidRPr="007713F4">
        <w:t xml:space="preserve"> </w:t>
      </w:r>
      <w:r w:rsidR="009C1226" w:rsidRPr="009C1226">
        <w:t xml:space="preserve">support </w:t>
      </w:r>
      <w:r w:rsidR="00C00A9C" w:rsidRPr="009C1226">
        <w:t xml:space="preserve">locoweed–endophyte association </w:t>
      </w:r>
      <w:r w:rsidR="009C1226" w:rsidRPr="009C1226">
        <w:t>a</w:t>
      </w:r>
      <w:r w:rsidR="00C00A9C">
        <w:t>s</w:t>
      </w:r>
      <w:r w:rsidR="009C1226" w:rsidRPr="009C1226">
        <w:t xml:space="preserve"> commensal. While fungal persistence requires host nitrogen provisioning, we found no measurable ecological benefits or costs to the host, highlighting unresolved metabolic tradeoffs and the evolutionary puzzle of vertical transmission in a neutral symbiosis.</w:t>
      </w:r>
      <w:r w:rsidR="00607BF6">
        <w:br w:type="page"/>
      </w:r>
    </w:p>
    <w:p w14:paraId="662E74E1" w14:textId="6183B067" w:rsidR="009E5B64" w:rsidRPr="00056E6F" w:rsidRDefault="00C25DE5" w:rsidP="007061BD">
      <w:pPr>
        <w:pStyle w:val="Heading1"/>
      </w:pPr>
      <w:r w:rsidRPr="00056E6F">
        <w:lastRenderedPageBreak/>
        <w:t>INTRODUCTION</w:t>
      </w:r>
    </w:p>
    <w:p w14:paraId="01D7613B" w14:textId="60238BD9" w:rsidR="003F527E" w:rsidRDefault="003F527E" w:rsidP="003F527E">
      <w:r>
        <w:tab/>
      </w:r>
      <w:r w:rsidRPr="003F527E">
        <w:t>Symbioses are often understood as exchanges: hosts invest resources, and in return, microbial partners provide protection, nutrients, or stress tolerance</w:t>
      </w:r>
      <w:r w:rsidR="00E5006D">
        <w:t xml:space="preserve"> </w:t>
      </w:r>
      <w:r w:rsidR="005E458E">
        <w:fldChar w:fldCharType="begin"/>
      </w:r>
      <w:r w:rsidR="00646768">
        <w:instrText xml:space="preserve"> ADDIN ZOTERO_ITEM CSL_CITATION {"citationID":"Pixp9kmp","properties":{"formattedCitation":"(S\\uc0\\u248{}rensen et al. 2019; Hawkes et al. 2020)","plainCitation":"(Sørensen et al. 2019; Hawkes et al. 2020)","noteIndex":0},"citationItems":[{"id":2140,"uris":["http://zotero.org/users/14577776/items/P3DFMFUV"],"itemData":{"id":2140,"type":"article-journal","abstract":"ABSTRACT\n            Evolutionary theory suggests that the conditions required for the establishment of mutualistic symbioses through mutualism alone are highly restrictive, often requiring the evolution of complex stabilising mechanisms. Exploitation, whereby initially the host benefits at the expense of its symbiotic partner and mutual benefits evolve subsequently through trade-offs, offers an arguably simpler route to the establishment of mutualistic symbiosis. In this review, we discuss the theoretical and experimental evidence supporting a role for host exploitation in the establishment and evolution of mutualistic microbial symbioses, including data from both extant and experimentally evolved symbioses. We conclude that exploitation rather than mutualism may often explain the origin of mutualistic microbial symbioses.","container-title":"FEMS Microbiology Letters","DOI":"10.1093/femsle/fnz148","ISSN":"1574-6968","issue":"12","language":"en","license":"http://creativecommons.org/licenses/by/4.0/","page":"fnz148","source":"DOI.org (Crossref)","title":"The role of exploitation in the establishment of mutualistic microbial symbioses","URL":"https://academic.oup.com/femsle/article/doi/10.1093/femsle/fnz148/5528313","volume":"366","author":[{"family":"Sørensen","given":"Megan E S"},{"family":"Lowe","given":"Chris D"},{"family":"Minter","given":"Ewan J A"},{"family":"Wood","given":"A Jamie"},{"family":"Cameron","given":"Duncan D"},{"family":"Brockhurst","given":"Michael A"}],"accessed":{"date-parts":[["2025",12,11]]},"issued":{"date-parts":[["2019",6,1]]}}},{"id":2142,"uris":["http://zotero.org/users/14577776/items/IM286LGD"],"itemData":{"id":2142,"type":"article-journal","abstract":"Existing paradigms for plant microevolution rarely acknowledge the potential impacts of diverse microbiomes on evolutionary processes. Many plant-associated microorganisms benefit the host via access to resources, protection from pathogens, or amelioration of abiotic stress. In doing so, they alter the plant's perception of the environment, potentially reducing the strength of selection acting on plant stress tolerance or defence traits or altering the traits that are the target of selection. We posit that the microbiome can affect plant microevolution via (1) manipulation of plant phenotypes in ways that increase plant fitness under stress and (2) direct microbial responses to the environment that benefit the plant. Both mechanisms might favour plant genotypes that attract or stimulate growth of the most responsive microbial populations or communities. We provide support for these scenarios using infectious disease and quantitative genetics models. Finally, we discuss how beneficial plant–microbiome associations can evolve if traditional mechanisms maintaining cooperation in pairwise symbioses, namely partner fidelity, partner choice and fitness alignment, also apply to the interactions between plants and diverse foliar and soil microbiomes. To understand the role of the plant microbiome in host evolution will require a broad ecological understanding of plant–microbe interactions across both space and time.\n            This article is part of the theme issue ‘The role of the microbiome in host evolution'.","container-title":"Philosophical Transactions of the Royal Society B: Biological Sciences","DOI":"10.1098/rstb.2019.0590","ISSN":"0962-8436, 1471-2970","issue":"1808","journalAbbreviation":"Phil. Trans. R. Soc. B","language":"en","page":"20190590","source":"DOI.org (Crossref)","title":"Symbiosis and stress: how plant microbiomes affect host evolution","title-short":"Symbiosis and stress","URL":"https://royalsocietypublishing.org/doi/10.1098/rstb.2019.0590","volume":"375","author":[{"family":"Hawkes","given":"Christine V."},{"family":"Bull","given":"James J."},{"family":"Lau","given":"Jennifer A."}],"accessed":{"date-parts":[["2025",12,11]]},"issued":{"date-parts":[["2020",9,28]]}}}],"schema":"https://github.com/citation-style-language/schema/raw/master/csl-citation.json"} </w:instrText>
      </w:r>
      <w:r w:rsidR="005E458E">
        <w:fldChar w:fldCharType="separate"/>
      </w:r>
      <w:r w:rsidR="00646768" w:rsidRPr="00646768">
        <w:rPr>
          <w:kern w:val="0"/>
        </w:rPr>
        <w:t>(Sørensen et al. 2019; Hawkes et al. 2020)</w:t>
      </w:r>
      <w:r w:rsidR="005E458E">
        <w:fldChar w:fldCharType="end"/>
      </w:r>
      <w:r w:rsidRPr="003F527E">
        <w:t xml:space="preserve">. This logic underpins the persistence of mutualisms and explains the costs of parasitism. Yet some partnerships defy this framework, persisting even when the host appears to gain nothing. Vertical transmission in such neutral associations poses a fundamental evolutionary puzzle: why should plants sustain a symbiont that requires metabolic investment but yields no measurable benefit? </w:t>
      </w:r>
      <w:r w:rsidRPr="00442E98">
        <w:rPr>
          <w:i/>
          <w:iCs/>
        </w:rPr>
        <w:t>Oxytropis sericea</w:t>
      </w:r>
      <w:r w:rsidR="00442E98">
        <w:t xml:space="preserve"> Nutt. (silky crazyweed)</w:t>
      </w:r>
      <w:r w:rsidRPr="003F527E">
        <w:t xml:space="preserve"> and </w:t>
      </w:r>
      <w:r w:rsidR="00442E98">
        <w:t>its</w:t>
      </w:r>
      <w:r w:rsidRPr="003F527E">
        <w:t xml:space="preserve"> </w:t>
      </w:r>
      <w:r w:rsidR="004F406A">
        <w:t>alkaloid</w:t>
      </w:r>
      <w:r w:rsidR="00E5508B">
        <w:t xml:space="preserve">-producing </w:t>
      </w:r>
      <w:r w:rsidRPr="003F527E">
        <w:t xml:space="preserve">fungal endophyte </w:t>
      </w:r>
      <w:proofErr w:type="spellStart"/>
      <w:r w:rsidRPr="00442E98">
        <w:rPr>
          <w:i/>
          <w:iCs/>
        </w:rPr>
        <w:t>Undifilum</w:t>
      </w:r>
      <w:proofErr w:type="spellEnd"/>
      <w:r w:rsidRPr="00442E98">
        <w:rPr>
          <w:i/>
          <w:iCs/>
        </w:rPr>
        <w:t xml:space="preserve"> oxytropis</w:t>
      </w:r>
      <w:r w:rsidRPr="003F527E">
        <w:t xml:space="preserve"> exemplify this paradox. Unlike grass</w:t>
      </w:r>
      <w:r w:rsidR="00442E98">
        <w:t>-</w:t>
      </w:r>
      <w:r w:rsidRPr="003F527E">
        <w:t>endophyte systems where mycotoxins deter herbivores and enhance stress tolerance, the locoweed</w:t>
      </w:r>
      <w:r w:rsidR="00442E98">
        <w:t>-</w:t>
      </w:r>
      <w:r w:rsidRPr="003F527E">
        <w:t xml:space="preserve">endophyte relationship appears commensal, with no detectable effects on herbivory, reproduction, or fitness. This study addresses that puzzle by testing whether endophyte infection alters chemical signaling and reproductive ecology, and by asking whether </w:t>
      </w:r>
      <w:r w:rsidR="00F63416">
        <w:t xml:space="preserve">endophyte infection, rather than plant-level variation independent of symbiosis, structures the volatile and alkaloid landscape </w:t>
      </w:r>
      <w:r w:rsidRPr="00442E98">
        <w:rPr>
          <w:i/>
          <w:iCs/>
        </w:rPr>
        <w:t>O. sericea</w:t>
      </w:r>
      <w:r w:rsidRPr="003F527E">
        <w:t>.</w:t>
      </w:r>
    </w:p>
    <w:p w14:paraId="341C8C82" w14:textId="4072ED1D" w:rsidR="002D50A0" w:rsidRDefault="002D50A0" w:rsidP="003F527E">
      <w:pPr>
        <w:ind w:firstLine="720"/>
      </w:pPr>
      <w:r>
        <w:t xml:space="preserve">Volatile organic compounds (VOCs) </w:t>
      </w:r>
      <w:r w:rsidR="00D14B36">
        <w:t>mediate plant interactions with pollinators, herbivores, and pathogens, making them a central axis of ecological communication</w:t>
      </w:r>
      <w:r w:rsidR="00413157">
        <w:t xml:space="preserve"> </w:t>
      </w:r>
      <w:r w:rsidR="00413157">
        <w:fldChar w:fldCharType="begin"/>
      </w:r>
      <w:r w:rsidR="0049019A">
        <w:instrText xml:space="preserve"> ADDIN ZOTERO_ITEM CSL_CITATION {"citationID":"Pub3mPrz","properties":{"formattedCitation":"(Turlings et al. 1990; Ryu et al. 2004; Raguso 2008; Trunschke et al. 2021; Zhang et al. 2023)","plainCitation":"(Turlings et al. 1990; Ryu et al. 2004; Raguso 2008; Trunschke et al. 2021; Zhang et al. 2023)","noteIndex":0},"citationItems":[{"id":1636,"uris":["http://zotero.org/users/14577776/items/T2BF874L"],"itemData":{"id":1636,"type":"article-journal","abstract":"Corn seedlings release large amounts of terpenoid volatiles after they have been fed upon by caterpillars. Artificially damaged seedlings do not release these volatiles in significant amounts unless oral secretions from the caterpillars are applied to the damaged sites. Undamaged leaves, whether or not they are treated with oral secretions, do not release detectable amounts of the terpenoids. Females of the parasitic wasp\n              Cotesia marginiventris\n              (Cresson) learn to take advantage of those plant-produced volatiles to locate hosts when exposed to these volatiles in association with hosts or host by-products. The terpenoids may be produced in defense against herbivores but may also serve a secondary function in attracting the natural enemies of these herbivores.","container-title":"Science","DOI":"10.1126/science.250.4985.1251","ISSN":"0036-8075, 1095-9203","issue":"4985","journalAbbreviation":"Science","language":"en","page":"1251-1253","source":"DOI.org (Crossref)","title":"Exploitation of Herbivore-Induced Plant Odors by Host-Seeking Parasitic Wasps","URL":"https://www.science.org/doi/10.1126/science.250.4985.1251","volume":"250","author":[{"family":"Turlings","given":"T. C. J."},{"family":"Tumlinson","given":"J. H."},{"family":"Lewis","given":"W. J."}],"accessed":{"date-parts":[["2025",9,18]]},"issued":{"date-parts":[["1990",11,30]]}}},{"id":1637,"uris":["http://zotero.org/users/14577776/items/RA4WUVEM"],"itemData":{"id":1637,"type":"article-journal","abstract":"Abstract\n            Plant growth-promoting rhizobacteria, in association with plant roots, can trigger induced systemic resistance (ISR). Considering that low-molecular weight volatile hormone analogues such as methyl jasmonate and methyl salicylate can trigger defense responses in plants, we examined whether volatile organic compounds (VOCs) associated with rhizobacteria can initiate ISR. In Arabidopsis seedlings exposed to bacterial volatile blends from Bacillus subtilis GB03 and Bacillus amyloliquefaciens IN937a, disease severity by the bacterial pathogen Erwinia carotovora subsp. carotovora was significantly reduced compared with seedlings not exposed to bacterial volatiles before pathogen inoculation. Exposure to VOCs from rhizobacteria for as little as 4 d was sufficient to activate ISR in Arabidopsis seedlings. Chemical analysis of the bacterial volatile emissions revealed the release of a series of low-molecular weight hydrocarbons including the growth promoting VOC (2R,3R)-(-)-butanediol. Exogenous application of racemic mixture of (RR) and (SS) isomers of 2,3-butanediol was found to trigger ISR and transgenic lines of B. subtilis that emitted reduced levels of 2,3-butanediol and acetoin conferred reduced Arabidopsis protection to pathogen infection compared with seedlings exposed to VOCs from wild-type bacterial lines. Using transgenic and mutant lines of Arabidopsis, we provide evidence that the signaling pathway activated by volatiles from GB03 is dependent on ethylene, albeit independent of the salicylic acid or jasmonic acid signaling pathways. This study provides new insight into the role of bacteria VOCs as initiators of defense responses in plants.","container-title":"Plant Physiology","DOI":"10.1104/pp.103.026583","ISSN":"1532-2548, 0032-0889","issue":"3","language":"en","license":"https://academic.oup.com/journals/pages/open_access/funder_policies/chorus/standard_publication_model","page":"1017-1026","source":"DOI.org (Crossref)","title":"Bacterial Volatiles Induce Systemic Resistance in Arabidopsis","URL":"https://academic.oup.com/plphys/article/134/3/1017/6112257","volume":"134","author":[{"family":"Ryu","given":"Choong-Min"},{"family":"Farag","given":"Mohamed A."},{"family":"Hu","given":"Chia-Hui"},{"family":"Reddy","given":"Munagala S."},{"family":"Kloepper","given":"Joseph W."},{"family":"Paré","given":"Paul W."}],"accessed":{"date-parts":[["2025",9,18]]},"issued":{"date-parts":[["2004",3,1]]}}},{"id":1391,"uris":["http://zotero.org/users/14577776/items/6I64T5TU"],"itemData":{"id":1391,"type":"article-journal","abstract":"Floral scent constitutes an ancient and important channel of communication between flowering plants, their pollinators, and enemies. Fragrance is a highly complex component of floral phenotype, with dynamic patterns of emission and chemical composition. The information content of specific volatile compounds is highly context dependent, and scent can function in direct and indirect ways from landscape to intrafloral scales. Floral scent promotes specialization in plant–pollinator relationships through private channels of unusual compounds, unique ratios of more widespread compounds, or through multicomponent floral filters. Floral scent also promotes outcrossing and reproductive isolation through floral constancy, via appetitive conditioning and discrimination on the basis of diverse mechanisms, including pheromone mimicry, odor intensity, complexity, composition, and synergy with visual stimuli. Finally, floral scent is a sexual signal and should be subject to the same selective pressures and modes of signal evolution as animal display, including signal honesty, sensory drive, and sensory exploitation.","container-title":"Annual Review of Ecology, Evolution, and Systematics","DOI":"10.1146/annurev.ecolsys.38.091206.095601","ISSN":"1543-592X, 1545-2069","issue":"1","journalAbbreviation":"Annu. Rev. Ecol. Evol. Syst.","language":"en","page":"549-569","source":"DOI.org (Crossref)","title":"Wake Up and Smell the Roses: The Ecology and Evolution of Floral Scent","title-short":"Wake Up and Smell the Roses","URL":"https://www.annualreviews.org/doi/10.1146/annurev.ecolsys.38.091206.095601","volume":"39","author":[{"family":"Raguso","given":"Robert A."}],"accessed":{"date-parts":[["2025",8,7]]},"issued":{"date-parts":[["2008",12,1]]}}},{"id":1634,"uris":["http://zotero.org/users/14577776/items/G9NMTHXT"],"itemData":{"id":1634,"type":"article-journal","abstract":"The evolution of floral traits in animal-pollinated plants involves the interaction between flowers as signal senders and pollinators as signal receivers. Flower colors are very diverse, effect pollinator attraction and flower foraging behavior, and are hypothesized to be shaped through pollinator-mediated selection. However, most of our current understanding of flower color evolution arises from variation between discrete color morphs and completed color shifts accompanying pollinator shifts, while evidence for pollinator-mediated selection on continuous variation in flower colors within populations is still scarce. In this review, we summarize experiments quantifying selection on continuous flower color variation in natural plant populations in the context of pollinator interactions. We found that evidence for significant pollinator-mediated selection is surprisingly limited among existing studies. We propose several possible explanations related to the complexity in the interaction between the colors of flowers and the sensory and cognitive abilities of pollinators as well as pollinator behavioral responses, on the one hand, and the distribution of variation in color phenotypes and fitness, on the other hand. We emphasize currently persisting weaknesses in experimental procedures, and provide some suggestions for how to improve methodology. In conclusion, we encourage future research to bring together plant and animal scientists to jointly forward our understanding of the mechanisms and circumstances of pollinator-mediated selection on flower color.","container-title":"Frontiers in Plant Science","DOI":"10.3389/fpls.2021.617851","ISSN":"1664-462X","journalAbbreviation":"Front. Plant Sci.","page":"617851","source":"DOI.org (Crossref)","title":"Flower Color Evolution and the Evidence of Pollinator-Mediated Selection","URL":"https://www.frontiersin.org/articles/10.3389/fpls.2021.617851/full","volume":"12","author":[{"family":"Trunschke","given":"Judith"},{"family":"Lunau","given":"Klaus"},{"family":"Pyke","given":"Graham H."},{"family":"Ren","given":"Zong-Xin"},{"family":"Wang","given":"Hong"}],"accessed":{"date-parts":[["2025",9,18]]},"issued":{"date-parts":[["2021",7,26]]}}},{"id":1325,"uris":["http://zotero.org/users/14577776/items/LMK43MVM"],"itemData":{"id":1325,"type":"article-journal","abstract":"AbstractTerpenoids, one of the most important plant volatiles, mediate the communication between plants and pollinators, herbivores as well as pathogens. Recently, researchers have shown intensive interest in the complicated interactions. Linalool, an acyclic monoterpene, is one of the common flavor‐related volatiles across the plant kingdom. In this review, we summarized the biosynthesis and transcriptional regulation of terpenoids, and then focused on the biological function of linalool in plant–insect interactions. We found that flowers emitting linalool as the dominant volatile appeal to broad assemblages of pollinators, while some pollinators typically have strong preferences for these flowers as well. Hereinto, moths and bees are the main pollinators of linalool‐dominant flowers. Additionally, linalool produced by plants could defend against insect pests and pathogens. It is noteworthy that the two enantiomers of linalool have distinct functions. (S)‐(+)‐linalool mainly attracts pollinators, while (R)‐(−)‐linalool seems to act as insect repellents. Further research on the biofunctional diversity and genetic mechanisms of linalool enantiomers will reveal the complexity of plant survival strategies, and the increasing understanding of the molecular mechanisms underlying their biosynthesis and transcriptional regulation will provide theoretical foundation and practical basis for directional transformation of plants.","container-title":"Journal of Systematics and Evolution","DOI":"10.1111/jse.12930","ISSN":"1674-4918, 1759-6831","issue":"3","journalAbbreviation":"J of Sytematics Evolution","language":"en","license":"http://onlinelibrary.wiley.com/termsAndConditions#vor","page":"538-549","publisher":"Wiley","source":"Crossref","title":"Linalool: A ubiquitous floral volatile mediating the communication between plants and insects","title-short":"Linalool","URL":"https://onlinelibrary.wiley.com/doi/10.1111/jse.12930","volume":"61","author":[{"family":"Zhang","given":"Ling"},{"family":"Su","given":"Qia‐Fan"},{"family":"Wang","given":"Liang‐Sheng"},{"family":"Lv","given":"Meng‐Wen"},{"family":"Hou","given":"Yi‐Xuan"},{"family":"Li","given":"Shan‐Shan"}],"accessed":{"date-parts":[["2025",7,10]]},"issued":{"date-parts":[["2023",5]]}}}],"schema":"https://github.com/citation-style-language/schema/raw/master/csl-citation.json"} </w:instrText>
      </w:r>
      <w:r w:rsidR="00413157">
        <w:fldChar w:fldCharType="separate"/>
      </w:r>
      <w:r w:rsidR="00413157">
        <w:rPr>
          <w:noProof/>
        </w:rPr>
        <w:t>(Turlings et al. 1990; Ryu et al. 2004; Raguso 2008; Trunschke et al. 2021; Zhang et al. 2023)</w:t>
      </w:r>
      <w:r w:rsidR="00413157">
        <w:fldChar w:fldCharType="end"/>
      </w:r>
      <w:r>
        <w:t xml:space="preserve">. Their production is highly plastic, often shifting with </w:t>
      </w:r>
      <w:r w:rsidR="00221D5D">
        <w:t>climate</w:t>
      </w:r>
      <w:r>
        <w:t xml:space="preserve"> conditions, tissue type, and seasonal cues, even within a single species</w:t>
      </w:r>
      <w:r w:rsidR="00413157">
        <w:t xml:space="preserve"> </w:t>
      </w:r>
      <w:r w:rsidR="00413157">
        <w:fldChar w:fldCharType="begin"/>
      </w:r>
      <w:r w:rsidR="00413157">
        <w:instrText xml:space="preserve"> ADDIN ZOTERO_ITEM CSL_CITATION {"citationID":"Ou9BBpDm","properties":{"formattedCitation":"(Turlings et al. 1990; Campbell et al. 2019; Nissar et al. 2025)","plainCitation":"(Turlings et al. 1990; Campbell et al. 2019; Nissar et al. 2025)","noteIndex":0},"citationItems":[{"id":1636,"uris":["http://zotero.org/users/14577776/items/T2BF874L"],"itemData":{"id":1636,"type":"article-journal","abstract":"Corn seedlings release large amounts of terpenoid volatiles after they have been fed upon by caterpillars. Artificially damaged seedlings do not release these volatiles in significant amounts unless oral secretions from the caterpillars are applied to the damaged sites. Undamaged leaves, whether or not they are treated with oral secretions, do not release detectable amounts of the terpenoids. Females of the parasitic wasp\n              Cotesia marginiventris\n              (Cresson) learn to take advantage of those plant-produced volatiles to locate hosts when exposed to these volatiles in association with hosts or host by-products. The terpenoids may be produced in defense against herbivores but may also serve a secondary function in attracting the natural enemies of these herbivores.","container-title":"Science","DOI":"10.1126/science.250.4985.1251","ISSN":"0036-8075, 1095-9203","issue":"4985","journalAbbreviation":"Science","language":"en","page":"1251-1253","source":"DOI.org (Crossref)","title":"Exploitation of Herbivore-Induced Plant Odors by Host-Seeking Parasitic Wasps","URL":"https://www.science.org/doi/10.1126/science.250.4985.1251","volume":"250","author":[{"family":"Turlings","given":"T. C. J."},{"family":"Tumlinson","given":"J. H."},{"family":"Lewis","given":"W. J."}],"accessed":{"date-parts":[["2025",9,18]]},"issued":{"date-parts":[["1990",11,30]]}}},{"id":2082,"uris":["http://zotero.org/users/14577776/items/2E4KTSY5"],"itemData":{"id":2082,"type":"article-journal","abstract":"Abstract\n            \n              Background and Aims\n              Flowers emit a wide range of volatile compounds which can be critically important to interactions with pollinators or herbivores. Yet most studies of how the environment influences plant volatiles focus on leaf emissions, with little known about abiotic sources of variation in floral volatiles. Understanding phenotypic plasticity in floral volatile emissions has become increasingly important with globally increasing temperatures and changes in drought frequency and severity. Here quantitative relationships of floral volatile emissions to soil water content were analysed.\n            \n            \n              Methods\n              Plants of the sub-alpine herb Ipomopsis aggregata and hybrids with its closest congener were subjected to a progressive dry down, mimicking the range of soil moistures experienced in the field. Floral volatiles and leaf gas exchange were measured at four time points during the drought.\n            \n            \n              Key Results\n              As the soil dried, floral volatile emissions increased overall and changed in composition, from more 1,3-octadiene and benzyl alcohol to higher representation of some terpenes. Emissions of individual compounds were not linearly related to volumetric water content in the soil. The dominant compound, the monoterpene α-pinene, made up the highest percentage of the scent mixture when soil moisture was intermediate. In contrast, emission of the sesquiterpene (E,E)-α-farnesene accelerated as the drought became more intense. Changes in floral volatiles did not track the time course of changes in photosynthetic rate or stomatal conductance.\n            \n            \n              Conclusions\n              This study shows responses of specific floral volatile organic compounds to soil moisture. The non-linear responses furthermore suggest that extreme droughts may have impacts that are not predictable from milder droughts. Floral volatiles are likely to change seasonally with early summer droughts in the Rocky Mountains, as well as over years as snowmelt becomes progressively earlier. Changes in water availability may have impacts on plant–animal interactions that are mediated through non-linear changes in floral volatiles.","container-title":"Annals of Botany","DOI":"10.1093/aob/mcy193","ISSN":"0305-7364, 1095-8290","issue":"4","language":"en","license":"https://academic.oup.com/journals/pages/open_access/funder_policies/chorus/standard_publication_model","page":"601-610","source":"DOI.org (Crossref)","title":"Phenotypic plasticity of floral volatiles in response to increasing drought stress","URL":"https://academic.oup.com/aob/article/123/4/601/5144873","volume":"123","author":[{"family":"Campbell","given":"Diane R"},{"family":"Sosenski","given":"Paula"},{"family":"Raguso","given":"Robert A"}],"accessed":{"date-parts":[["2025",11,11]]},"issued":{"date-parts":[["2019",3,14]]}}},{"id":2084,"uris":["http://zotero.org/users/14577776/items/7YCAE77E"],"itemData":{"id":2084,"type":"article-journal","container-title":"Chemoecology","DOI":"10.1007/s00049-025-00419-8","ISSN":"0937-7409, 1423-0445","issue":"2","journalAbbreviation":"Chemoecology","language":"en","page":"97-111","source":"DOI.org (Crossref)","title":"Chemical plasticity and volatile organic compound diversity in &lt;i&gt;Anthemis cotula&lt;/i&gt; L.: variations across growth cycles, plant organs, and elevations","title-short":"Chemical plasticity and volatile organic compound diversity in Anthemis cotula L.","URL":"https://link.springer.com/10.1007/s00049-025-00419-8","volume":"35","author":[{"family":"Nissar","given":"Showkat"},{"family":"Reshi","given":"Zafar A."},{"family":"Pandit","given":"Sagar"},{"family":"Parray","given":"Mudasir Abdullah"}],"accessed":{"date-parts":[["2025",11,11]]},"issued":{"date-parts":[["2025",6]]}}}],"schema":"https://github.com/citation-style-language/schema/raw/master/csl-citation.json"} </w:instrText>
      </w:r>
      <w:r w:rsidR="00413157">
        <w:fldChar w:fldCharType="separate"/>
      </w:r>
      <w:r w:rsidR="00413157">
        <w:rPr>
          <w:noProof/>
        </w:rPr>
        <w:t>(Turlings et al. 1990; Campbell et al. 2019; Nissar et al. 2025)</w:t>
      </w:r>
      <w:r w:rsidR="00413157">
        <w:fldChar w:fldCharType="end"/>
      </w:r>
      <w:r>
        <w:t xml:space="preserve">. </w:t>
      </w:r>
      <w:r w:rsidR="00FC2A63" w:rsidRPr="00FC2A63">
        <w:t>By examining whether endophyte infection alters VOC signaling</w:t>
      </w:r>
      <w:r w:rsidR="000B04D7">
        <w:t xml:space="preserve"> in </w:t>
      </w:r>
      <w:r w:rsidR="000B04D7" w:rsidRPr="000B04D7">
        <w:rPr>
          <w:i/>
          <w:iCs/>
        </w:rPr>
        <w:t>O. sericea</w:t>
      </w:r>
      <w:r w:rsidR="00FC2A63" w:rsidRPr="00FC2A63">
        <w:t>, we address both the chemical ecology and the evolutionary puzzle of a seemingly commensal symbiosis.</w:t>
      </w:r>
    </w:p>
    <w:p w14:paraId="7E2C3044" w14:textId="6188F2BD" w:rsidR="00A839BD" w:rsidRDefault="0092166A" w:rsidP="00647787">
      <w:pPr>
        <w:ind w:firstLine="720"/>
      </w:pPr>
      <w:r>
        <w:t>Fungal e</w:t>
      </w:r>
      <w:r w:rsidR="002D50A0">
        <w:t>ndophytes are symptomless symbionts that colonize plant tissues systemically</w:t>
      </w:r>
      <w:r w:rsidR="004D33E4">
        <w:t xml:space="preserve"> </w:t>
      </w:r>
      <w:r w:rsidR="004D33E4">
        <w:fldChar w:fldCharType="begin"/>
      </w:r>
      <w:r w:rsidR="00116C88">
        <w:instrText xml:space="preserve"> ADDIN ZOTERO_ITEM CSL_CITATION {"citationID":"5PdX7MXt","properties":{"formattedCitation":"(Carroll 1988; Faeth 2002; Rodriguez et al. 2009)","plainCitation":"(Carroll 1988; Faeth 2002; Rodriguez et al. 2009)","noteIndex":0},"citationItems":[{"id":2101,"uris":["http://zotero.org/users/14577776/items/DRYUDXQ9"],"itemData":{"id":2101,"type":"article-journal","abstract":"Endophytes are fungi that form inapparent infections within leaves and stems of healthy plants. Closely related to virulent pathogens but with limited, if any, pathogenic effects themselves, many endophytes protect host plants from natural enemies. Animal herbivores and, in some cases, pathogenic microbes are poisoned by the mycotoxins produced by endophytes. \"Constitutive mutualism\" is the relatively faithful association, usually with grasses, of endophytes that infect host ovules and are propagated in host seed; substantial fungal biomass with probable high metabolic cost develops throughout the aerial parts of the host plant. \"Inducible mutualist\" endophytes are not involved with host seed and disseminate independently through air or in water. Infecting only vegetative parts of the host and remaining metabolically inactive for long periods with relatively little fungal biomass, inducible mutualists grow rapidly and produce toxins against herbivores when damaged host tissues provide new sites for infection. I surmise that endophytes may be as common among plants as are mycorrhyzae.","container-title":"Ecology","DOI":"10.2307/1943154","ISSN":"0012-9658, 1939-9170","issue":"1","journalAbbreviation":"Ecology","language":"en","license":"http://onlinelibrary.wiley.com/termsAndConditions#vor","page":"2-9","source":"DOI.org (Crossref)","title":"Fungal Endophytes in Stems and Leaves: From Latent Pathogen to Mutualistic Symbiont","title-short":"Fungal Endophytes in Stems and Leaves","URL":"https://esajournals.onlinelibrary.wiley.com/doi/10.2307/1943154","volume":"69","author":[{"family":"Carroll","given":"George"}],"accessed":{"date-parts":[["2025",12,10]]},"issued":{"date-parts":[["1988",2]]}}},{"id":2102,"uris":["http://zotero.org/users/14577776/items/C29H5KMY"],"itemData":{"id":2102,"type":"article-journal","container-title":"Integrative and Comparative Biology","DOI":"10.1093/icb/42.2.360","ISSN":"1540-7063, 1557-7023","issue":"2","journalAbbreviation":"Integrative and Comparative Biology","language":"en","page":"360-368","source":"DOI.org (Crossref)","title":"Fungal Endophytes: Common Host Plant Symbionts but Uncommon Mutualists","title-short":"Fungal Endophytes","URL":"https://academic.oup.com/icb/article-lookup/doi/10.1093/icb/42.2.360","volume":"42","author":[{"family":"Faeth","given":"S. H."}],"accessed":{"date-parts":[["2025",12,10]]},"issued":{"date-parts":[["2002",4,1]]}}},{"id":"wS90xIuu/p6bByopv","uris":["http://zotero.org/users/14577776/items/DVRBIMHG"],"itemData":{"id":2103,"type":"article-journal","abstract":"Summary\n            \n              All plants in natural ecosystems appear to be symbiotic with fungal endophytes. This highly diverse group of fungi can have profound impacts on plant communities through increasing fitness by conferring abiotic and biotic stress tolerance, increasing biomass and decreasing water consumption, or decreasing fitness by altering resource allocation. Despite more than 100 yr of research resulting in thousands of journal articles, the ecological significance of these fungi remains poorly characterized. Historically, two endophytic groups (clavicipitaceous (C) and nonclavicipitaceous (NC)) have been discriminated based on phylogeny and life history traits. Here, we show that NC‐endophytes represent three distinct functional groups based on host colonization and transmission,\n              in planta\n              biodiversity and fitness benefits conferred to hosts. Using this framework, we contrast the life histories, interactions with hosts and potential roles in plant ecophysiology of C‐ and NC‐endophytes, and highlight several key questions for future work in endophyte biology.\n            \n            \n              \n                \n                  \n                  \n                  \n                  \n                    \n                      \n                      Contents\n                      \n                    \n                  \n                  \n                    \n                      \n                      Summary\n                      314\n                    \n                    \n                      I.\n                      \n                        Introduction\n                      \n                      314\n                    \n                    \n                      II.\n                      \n                        Clavicipitaceous endophytes (Class 1)\n                      \n                      316\n                    \n                    \n                      III.\n                      \n                        Nonclavicipitaceous endophytes\n                      \n                      319\n                    \n                    \n                      IV.\n                      \n                        Class 2 endophytes\n                      \n                      319\n                    \n                    \n                      V.\n                      \n                        Class 3 endophytes\n                      \n                      321\n                    \n                    \n                      VI.\n                      \n                        Class 4 endophytes\n                      \n                      323\n                    \n                    \n                      VII.\n                      \n                        Conclusions\n                      \n                      325\n                    \n                    \n                      \n                      \n                        Acknowledgements\n                      \n                      326\n                    \n                    \n                      \n                      \n                        References\n                      \n                      326","container-title":"New Phytologist","DOI":"10.1111/j.1469-8137.2009.02773.x","ISSN":"0028-646X, 1469-8137","issue":"2","journalAbbreviation":"New Phytologist","language":"en","license":"http://onlinelibrary.wiley.com/termsAndConditions#vor","page":"314-330","source":"DOI.org (Crossref)","title":"Fungal endophytes: diversity and functional roles","title-short":"Fungal endophytes","URL":"https://nph.onlinelibrary.wiley.com/doi/10.1111/j.1469-8137.2009.02773.x","volume":"182","author":[{"family":"Rodriguez","given":"R. J."},{"family":"White Jr","given":"J. F."},{"family":"Arnold","given":"A. E."},{"family":"Redman","given":"R. S."}],"accessed":{"date-parts":[["2025",12,10]]},"issued":{"date-parts":[["2009",4]]}}}],"schema":"https://github.com/citation-style-language/schema/raw/master/csl-citation.json"} </w:instrText>
      </w:r>
      <w:r w:rsidR="004D33E4">
        <w:fldChar w:fldCharType="separate"/>
      </w:r>
      <w:r w:rsidR="00A24562">
        <w:rPr>
          <w:noProof/>
        </w:rPr>
        <w:t>(Carroll 1988; Faeth 2002; Rodriguez et al. 2009)</w:t>
      </w:r>
      <w:r w:rsidR="004D33E4">
        <w:fldChar w:fldCharType="end"/>
      </w:r>
      <w:r w:rsidR="002D50A0">
        <w:t xml:space="preserve">. In grasses, well‑studied endophytes often </w:t>
      </w:r>
      <w:r w:rsidR="002D50A0">
        <w:lastRenderedPageBreak/>
        <w:t>provide mycotoxins that reduce herbivory and enhance abiotic stress tolerance, conferring measurable fitness advantages to their hosts</w:t>
      </w:r>
      <w:r w:rsidR="006F5B8F">
        <w:t xml:space="preserve"> </w:t>
      </w:r>
      <w:r w:rsidR="006F5B8F">
        <w:fldChar w:fldCharType="begin"/>
      </w:r>
      <w:r w:rsidR="00DD48EF">
        <w:instrText xml:space="preserve"> ADDIN ZOTERO_ITEM CSL_CITATION {"citationID":"FkmjNucB","properties":{"formattedCitation":"(Shankar Naik 2019; Fu et al. 2024)","plainCitation":"(Shankar Naik 2019; Fu et al. 2024)","noteIndex":0},"citationItems":[{"id":2106,"uris":["http://zotero.org/users/14577776/items/FPLH6NR4"],"itemData":{"id":2106,"type":"article-journal","container-title":"Symbiosis","DOI":"10.1007/s13199-019-00635-1","ISSN":"0334-5114, 1878-7665","issue":"2","journalAbbreviation":"Symbiosis","language":"en","page":"99-115","source":"DOI.org (Crossref)","title":"Functional roles of fungal endophytes in host fitness during stress conditions","URL":"http://link.springer.com/10.1007/s13199-019-00635-1","volume":"79","author":[{"family":"Shankar Naik","given":"B."}],"accessed":{"date-parts":[["2025",12,10]]},"issued":{"date-parts":[["2019",10]]}}},{"id":2105,"uris":["http://zotero.org/users/14577776/items/LPP93VXG"],"itemData":{"id":2105,"type":"article-journal","container-title":"Journal of Agricultural and Food Chemistry","DOI":"10.1021/acs.jafc.3c09049","ISSN":"0021-8561, 1520-5118","issue":"4","journalAbbreviation":"J. Agric. Food Chem.","language":"en","license":"https://doi.org/10.15223/policy-029","page":"2397-2409","source":"DOI.org (Crossref)","title":"Multiomics Reveals Mechanisms of &lt;i&gt;Alternaria oxytropis&lt;/i&gt; Inhibiting Pathogenic Fungi in &lt;i&gt;Oxytropis ochrocephala&lt;/i&gt;","URL":"https://pubs.acs.org/doi/10.1021/acs.jafc.3c09049","volume":"72","author":[{"family":"Fu","given":"Keyi"},{"family":"Schardl","given":"Christopher L."},{"family":"Cook","given":"Daniel"},{"family":"Cao","given":"Xuanli"},{"family":"Ling","given":"Ning"},{"family":"He","given":"Chunyu"},{"family":"Wu","given":"Dandan"},{"family":"Xue","given":"Longhai"},{"family":"Li","given":"Yanzhong"},{"family":"Shi","given":"Zunji"}],"accessed":{"date-parts":[["2025",12,10]]},"issued":{"date-parts":[["2024",1,31]]}}}],"schema":"https://github.com/citation-style-language/schema/raw/master/csl-citation.json"} </w:instrText>
      </w:r>
      <w:r w:rsidR="006F5B8F">
        <w:fldChar w:fldCharType="separate"/>
      </w:r>
      <w:r w:rsidR="00DD48EF">
        <w:rPr>
          <w:noProof/>
        </w:rPr>
        <w:t>(Shankar Naik 2019; Fu et al. 2024)</w:t>
      </w:r>
      <w:r w:rsidR="006F5B8F">
        <w:fldChar w:fldCharType="end"/>
      </w:r>
      <w:r w:rsidR="002D50A0">
        <w:t xml:space="preserve">. </w:t>
      </w:r>
      <w:r w:rsidR="00902487">
        <w:t>In contrast</w:t>
      </w:r>
      <w:r w:rsidR="00E50386">
        <w:t>, evidence from locoweeds (</w:t>
      </w:r>
      <w:r w:rsidR="00E50386">
        <w:rPr>
          <w:i/>
          <w:iCs/>
        </w:rPr>
        <w:t xml:space="preserve">Astragalus </w:t>
      </w:r>
      <w:r w:rsidR="00E50386">
        <w:t xml:space="preserve">and </w:t>
      </w:r>
      <w:r w:rsidR="00E50386" w:rsidRPr="0092166A">
        <w:rPr>
          <w:i/>
          <w:iCs/>
        </w:rPr>
        <w:t>Oxytropis</w:t>
      </w:r>
      <w:r w:rsidR="00E50386">
        <w:t xml:space="preserve">) suggests a different dynamic. </w:t>
      </w:r>
      <w:r w:rsidR="000C30CD" w:rsidRPr="000C30CD">
        <w:rPr>
          <w:i/>
          <w:iCs/>
        </w:rPr>
        <w:t>Oxytropis sericea</w:t>
      </w:r>
      <w:r w:rsidR="004063B3">
        <w:rPr>
          <w:i/>
          <w:iCs/>
        </w:rPr>
        <w:t xml:space="preserve"> </w:t>
      </w:r>
      <w:r w:rsidR="004063B3">
        <w:t>(silky crazyweed)</w:t>
      </w:r>
      <w:r w:rsidR="000C30CD">
        <w:t xml:space="preserve"> hosts the </w:t>
      </w:r>
      <w:r w:rsidR="00E50386">
        <w:t>vertically</w:t>
      </w:r>
      <w:r w:rsidR="00F67173">
        <w:t>-</w:t>
      </w:r>
      <w:r w:rsidR="00E50386">
        <w:t xml:space="preserve">transmitted endophyte </w:t>
      </w:r>
      <w:proofErr w:type="spellStart"/>
      <w:r w:rsidR="00E50386" w:rsidRPr="00A9103B">
        <w:rPr>
          <w:i/>
          <w:iCs/>
        </w:rPr>
        <w:t>Undifilum</w:t>
      </w:r>
      <w:proofErr w:type="spellEnd"/>
      <w:r w:rsidR="000C30CD">
        <w:rPr>
          <w:i/>
          <w:iCs/>
        </w:rPr>
        <w:t xml:space="preserve"> oxytropis</w:t>
      </w:r>
      <w:r w:rsidR="00E50386">
        <w:t xml:space="preserve"> that synthesize</w:t>
      </w:r>
      <w:r w:rsidR="00F1611E">
        <w:t>s</w:t>
      </w:r>
      <w:r w:rsidR="00E50386">
        <w:t xml:space="preserve"> the indolizidine alkaloid swainsonine</w:t>
      </w:r>
      <w:r w:rsidR="004063B3">
        <w:t xml:space="preserve"> </w:t>
      </w:r>
      <w:r w:rsidR="004063B3" w:rsidRPr="00B43D23">
        <w:t>(1, 2, 8-trihydroxyoctahydroindolizine)</w:t>
      </w:r>
      <w:r w:rsidR="0088290B">
        <w:t xml:space="preserve"> </w:t>
      </w:r>
      <w:r w:rsidR="0088290B">
        <w:fldChar w:fldCharType="begin"/>
      </w:r>
      <w:r w:rsidR="006B0397">
        <w:instrText xml:space="preserve"> ADDIN ZOTERO_ITEM CSL_CITATION {"citationID":"VkD4m0Rj","properties":{"formattedCitation":"(Ralphs et al. 2011)","plainCitation":"(Ralphs et al. 2011)","noteIndex":0},"citationItems":[{"id":2164,"uris":["http://zotero.org/users/14577776/items/XPMKCCKC"],"itemData":{"id":2164,"type":"article-journal","container-title":"Fungal Ecology","DOI":"10.1016/j.funeco.2011.03.001","ISSN":"17545048","issue":"4","journalAbbreviation":"Fungal Ecology","language":"en","license":"https://www.elsevier.com/tdm/userlicense/1.0/","page":"251-255","source":"DOI.org (Crossref)","title":"Transmission of the locoweed endophyte to the next generation of plants","URL":"https://linkinghub.elsevier.com/retrieve/pii/S175450481100033X","volume":"4","author":[{"family":"Ralphs","given":"M.H."},{"family":"Cook","given":"D."},{"family":"Gardner","given":"D.R."},{"family":"Grum","given":"D.S."}],"accessed":{"date-parts":[["2026",1,9]]},"issued":{"date-parts":[["2011",8]]}}}],"schema":"https://github.com/citation-style-language/schema/raw/master/csl-citation.json"} </w:instrText>
      </w:r>
      <w:r w:rsidR="0088290B">
        <w:fldChar w:fldCharType="separate"/>
      </w:r>
      <w:r w:rsidR="006B0397">
        <w:rPr>
          <w:noProof/>
        </w:rPr>
        <w:t>(Ralphs et al. 2011)</w:t>
      </w:r>
      <w:r w:rsidR="0088290B">
        <w:fldChar w:fldCharType="end"/>
      </w:r>
      <w:r w:rsidR="00E50386">
        <w:t xml:space="preserve">, a </w:t>
      </w:r>
      <w:r w:rsidR="005E6658">
        <w:t>potent neurotoxin responsible for livestock poisoning</w:t>
      </w:r>
      <w:r w:rsidR="00D3643C">
        <w:t xml:space="preserve"> </w:t>
      </w:r>
      <w:r w:rsidR="00D3643C">
        <w:fldChar w:fldCharType="begin"/>
      </w:r>
      <w:r w:rsidR="00D3643C">
        <w:instrText xml:space="preserve"> ADDIN ZOTERO_ITEM CSL_CITATION {"citationID":"XqB6Yqpx","properties":{"formattedCitation":"(Molyneux and James 1982; Cook et al. 2009)","plainCitation":"(Molyneux and James 1982; Cook et al. 2009)","noteIndex":0},"citationItems":[{"id":1644,"uris":["http://zotero.org/users/14577776/items/35QIYNQR"],"itemData":{"id":1644,"type":"article-journal","abstract":"The indolizidine alkaloids swainsonine and swainsonine\n              N\n              -oxide have been isolated and identified as constituents of spotted locoweed. The inhibition of lysosomal α-mannosidase by these alkaloids suggests that they are the causative agents of locoism in range animals.","container-title":"Science","DOI":"10.1126/science.6801763","ISSN":"0036-8075, 1095-9203","issue":"4542","journalAbbreviation":"Science","language":"en","page":"190-191","source":"DOI.org (Crossref)","title":"Loco Intoxication: Indolizidine Alkaloids of Spotted Locoweed (&lt;i&gt;Astragalus lentiginosus&lt;/i&gt;)","title-short":"Loco Intoxication","URL":"https://www.science.org/doi/10.1126/science.6801763","volume":"216","author":[{"family":"Molyneux","given":"Russell J."},{"family":"James","given":"Lynn F."}],"accessed":{"date-parts":[["2025",9,19]]},"issued":{"date-parts":[["1982",4,9]]}}},{"id":1386,"uris":["http://zotero.org/users/14577776/items/J7YUE9S3"],"itemData":{"id":1386,"type":"article-journal","container-title":"Rangelands","DOI":"10.2111/1551-501X-31.1.16","ISSN":"01900528","issue":"1","journalAbbreviation":"Rangelands","language":"en","license":"https://www.elsevier.com/tdm/userlicense/1.0/","page":"16-21","source":"DOI.org (Crossref)","title":"Locoweed Poisoning in Livestock","URL":"https://linkinghub.elsevier.com/retrieve/pii/S0190052809500806","volume":"31","author":[{"family":"Cook","given":"Daniel"},{"family":"Ralphs","given":"Michael H."},{"family":"Welch","given":"Kevin D."},{"family":"Stegelmeier","given":"Bryan L."}],"accessed":{"date-parts":[["2025",8,4]]},"issued":{"date-parts":[["2009",2]]}}}],"schema":"https://github.com/citation-style-language/schema/raw/master/csl-citation.json"} </w:instrText>
      </w:r>
      <w:r w:rsidR="00D3643C">
        <w:fldChar w:fldCharType="separate"/>
      </w:r>
      <w:r w:rsidR="00D3643C">
        <w:rPr>
          <w:noProof/>
        </w:rPr>
        <w:t>(Molyneux and James 1982; Cook et al. 2009)</w:t>
      </w:r>
      <w:r w:rsidR="00D3643C">
        <w:fldChar w:fldCharType="end"/>
      </w:r>
      <w:r w:rsidR="005E6658">
        <w:t xml:space="preserve">. Despite its toxicity to mammals, multiple studies have found no consistent effects of endophyte presence on plant growth, </w:t>
      </w:r>
      <w:r w:rsidR="00A9103B">
        <w:t>physiology</w:t>
      </w:r>
      <w:r w:rsidR="005E6658">
        <w:t xml:space="preserve">, or fecundity. Nitrogen fertilization increased </w:t>
      </w:r>
      <w:r w:rsidR="0033133C">
        <w:t xml:space="preserve">plant </w:t>
      </w:r>
      <w:r w:rsidR="005E6658">
        <w:t xml:space="preserve">biomass but did not alter swainsonine levels in </w:t>
      </w:r>
      <w:r w:rsidR="005E6658">
        <w:rPr>
          <w:i/>
          <w:iCs/>
        </w:rPr>
        <w:t>O. sericea</w:t>
      </w:r>
      <w:r w:rsidR="00DE384D">
        <w:rPr>
          <w:i/>
          <w:iCs/>
        </w:rPr>
        <w:t xml:space="preserve"> </w:t>
      </w:r>
      <w:r w:rsidR="00DE384D" w:rsidRPr="00DE384D">
        <w:fldChar w:fldCharType="begin"/>
      </w:r>
      <w:r w:rsidR="00DE384D" w:rsidRPr="00DE384D">
        <w:instrText xml:space="preserve"> ADDIN ZOTERO_ITEM CSL_CITATION {"citationID":"kNtYvpwQ","properties":{"formattedCitation":"(Delaney et al. 2011)","plainCitation":"(Delaney et al. 2011)","noteIndex":0},"citationItems":[{"id":2092,"uris":["http://zotero.org/users/14577776/items/8UWGCLF4"],"itemData":{"id":2092,"type":"article-journal","abstract":"•\n              Premise of the Study:\n              Plant communities may be influenced by toxic secondary metabolites or enhanced plant growth from plant–symbiont interactions. The C:N hypothesis predicts that carbon or nitrogen constrains plant secondary metabolite production, but it does not consider compounds produced by plant symbionts. Locoweeds are legumes that can have fungal endophyte alkaloid (swainsonine [SWA]) production, which causes livestock poisoning. We studied four locoweed taxa to test whether average SWA concentrations influenced SWA positive dose responses to N fertilizer.\n            \n            \n              •\n              Methods:\n              We measured locoweed leaf SWA, pigment concentrations and photosynthetic activity, and plant biomass dose responses to N supplementation for 3 mo in two greenhouse experiments.\n            \n            \n              •\n              Key Results:\n              Leaf photosynthesis, leaf pigment concentrations, and plant biomass had positive, unsaturated dose responses across tested N doses. Although N enhanced primary growth, two moderate‐SWA taxa (\n              Astragalus mollissimus\n              var.\n              bigelovii\n              and\n              Oxytropis sericea\n              ) had negative SWA dose responses to increasing N, the high‐SWA taxon (\n              A. moll\n              . var.\n              mollissimus\n              ) had no SWA change, and the very low‐SWA taxon (\n              A. moll\n              . var.\n              matthewsii\n              ) had a transient positive dose response.\n            \n            \n              •\n              Conclusions:\n              Supplemented N led to positive dose responses for plant biomass and leaf photosynthesis and pigments, but SWA dose responses differed across locoweed taxa and time. At N levels that enhanced plant growth and reduced antioxidant protective systems, fungal endophyte alkaloid production was not strongly influenced. Production of SWA may be more strongly influenced by factors other than C:N supply (e.g., seasonality, plant age) in the locoweed–endophyte–\n              Rhizobium\n              complex.","container-title":"American Journal of Botany","DOI":"10.3732/ajb.1100133","ISSN":"0002-9122, 1537-2197","issue":"12","journalAbbreviation":"American J of Botany","language":"en","license":"http://onlinelibrary.wiley.com/termsAndConditions#vor","page":"1956-1965","source":"DOI.org (Crossref)","title":"Locoweed dose responses to nitrogen: Positive for biomass and primary physiology, but inconsistent for an alkaloid","title-short":"Locoweed dose responses to nitrogen","URL":"https://bsapubs.onlinelibrary.wiley.com/doi/10.3732/ajb.1100133","volume":"98","author":[{"family":"Delaney","given":"Kevin J."},{"family":"Klypina","given":"Nina"},{"family":"Maruthavanan","given":"Janakiraman"},{"family":"Lange","given":"Carol"},{"family":"Sterling","given":"Tracy M."}],"accessed":{"date-parts":[["2025",12,10]]},"issued":{"date-parts":[["2011",12]]}}}],"schema":"https://github.com/citation-style-language/schema/raw/master/csl-citation.json"} </w:instrText>
      </w:r>
      <w:r w:rsidR="00DE384D" w:rsidRPr="00DE384D">
        <w:fldChar w:fldCharType="separate"/>
      </w:r>
      <w:r w:rsidR="00DE384D" w:rsidRPr="00DE384D">
        <w:rPr>
          <w:noProof/>
        </w:rPr>
        <w:t>(Delaney et al. 2011)</w:t>
      </w:r>
      <w:r w:rsidR="00DE384D" w:rsidRPr="00DE384D">
        <w:fldChar w:fldCharType="end"/>
      </w:r>
      <w:r w:rsidR="00DE384D">
        <w:t xml:space="preserve">, </w:t>
      </w:r>
      <w:r w:rsidR="00A64CE9">
        <w:t xml:space="preserve">drought stress induced antioxidant defenses in </w:t>
      </w:r>
      <w:r w:rsidR="00A64CE9">
        <w:rPr>
          <w:i/>
          <w:iCs/>
        </w:rPr>
        <w:t>Astrag</w:t>
      </w:r>
      <w:r w:rsidR="0074636C">
        <w:rPr>
          <w:i/>
          <w:iCs/>
        </w:rPr>
        <w:t>alus</w:t>
      </w:r>
      <w:r w:rsidR="00A64CE9">
        <w:rPr>
          <w:i/>
          <w:iCs/>
        </w:rPr>
        <w:t xml:space="preserve"> </w:t>
      </w:r>
      <w:proofErr w:type="spellStart"/>
      <w:r w:rsidR="00A64CE9">
        <w:rPr>
          <w:i/>
          <w:iCs/>
        </w:rPr>
        <w:t>molli</w:t>
      </w:r>
      <w:r w:rsidR="005F17B4">
        <w:rPr>
          <w:i/>
          <w:iCs/>
        </w:rPr>
        <w:t>s</w:t>
      </w:r>
      <w:r w:rsidR="00A64CE9">
        <w:rPr>
          <w:i/>
          <w:iCs/>
        </w:rPr>
        <w:t>simus</w:t>
      </w:r>
      <w:proofErr w:type="spellEnd"/>
      <w:r w:rsidR="00A64CE9">
        <w:rPr>
          <w:i/>
          <w:iCs/>
        </w:rPr>
        <w:t xml:space="preserve"> </w:t>
      </w:r>
      <w:r w:rsidR="00664905">
        <w:t xml:space="preserve">Torr. </w:t>
      </w:r>
      <w:r w:rsidR="00A64CE9">
        <w:t xml:space="preserve">but not in </w:t>
      </w:r>
      <w:r w:rsidR="00A64CE9">
        <w:rPr>
          <w:i/>
          <w:iCs/>
        </w:rPr>
        <w:t>O. sericea</w:t>
      </w:r>
      <w:r w:rsidR="00A64CE9">
        <w:t xml:space="preserve"> </w:t>
      </w:r>
      <w:r w:rsidR="00DE384D">
        <w:fldChar w:fldCharType="begin"/>
      </w:r>
      <w:r w:rsidR="00116C88">
        <w:instrText xml:space="preserve"> ADDIN ZOTERO_ITEM CSL_CITATION {"citationID":"gzq236RC","properties":{"formattedCitation":"(Klypina et al. 2017)","plainCitation":"(Klypina et al. 2017)","noteIndex":0},"citationItems":[{"id":"wS90xIuu/pzVNDSnG","uris":["http://zotero.org/users/14577776/items/KQ4AUR6Q"],"itemData":{"id":2109,"type":"article-journal","abstract":"Locoweeds are plants of the genera\n              Astragalus\n              and\n              Oxytropis\n              (Fabaceae family) and are toxic to cattle, sheep, and horses. The toxic property of locoweeds is due to the alkaloid swainsonine (SWA), which is synthesized by an endophytic fungus\n              Alternaria\n              spp. section\n              Undifilum\n              . Although the endophyte–locoweed complex is often considered mutualistic, empirical evidence for benefits to host plants is lacking. This study: 1) compared the growth, photosynthesis, and leaf pigment and antioxidant concentrations between endophyte-infected and endophyte-free plants under well-watered and water-deficit conditions; and 2) measured SWA to determine whether SWA concentrations are attenuated by water deficit and leaf age. Locoweed species in this study were woolly loco and silky crazyweed. Endophyte-infected and endophyte-free (by removal of seed coat) seedlings, as confirmed by DNA analyses, were grown under greenhouse conditions for 6 mo, after which plants were subjected to three 12- to 15-d water-deficit periods that created sublethal drought conditions. Results suggest that the endophyte did not influence photosynthetic gas exchange and leaf pigment concentrations. Under well-watered conditions only, endophyte-infected woolly loco plants had lower shoot and root biomass and higher concentrations of α-tocopherol than endophyte-free plants. SWA analyses revealed taxon-specific effects of water deficit, with water deficit increasing SWA concentrations in young leaves of woolly loco but not affecting SWA concentration in silky crazyweed. These results suggest that the endophyte behaves as a parasite in woolly loco plants grown under optimal but not under water-limited conditions. Further, results indicate that drought conditions elevate the toxicity of woolly loco plants. Improved understanding of endophyte-locoweed interactions and factors influencing SWA levels will contribute to the development of livestock management strategies to predict toxicity in particular locoweed populations.","container-title":"Weed Science","DOI":"10.1017/wsc.2017.21","ISSN":"1550-2759","issue":"5","journalAbbreviation":"Weed Sci","language":"en","license":"https://www.cambridge.org/core/terms","page":"626-638","source":"DOI.org (Crossref)","title":"Water-Deficit Stress Tolerance Differs between Two Locoweed Genera ( &lt;i&gt;Astragalus&lt;/i&gt; and &lt;i&gt;Oxytropis&lt;/i&gt; ) with Fungal Endophytes","URL":"https://www.cambridge.org/core/product/identifier/S0043174517000212/type/journal_article","volume":"65","author":[{"family":"Klypina","given":"Nina"},{"family":"Pinch","given":"Matthew"},{"family":"Schutte","given":"Brian J."},{"family":"Maruthavanan","given":"Janakiraman"},{"family":"Sterling","given":"Tracy M."}],"accessed":{"date-parts":[["2025",12,10]]},"issued":{"date-parts":[["2017",9]]}}}],"schema":"https://github.com/citation-style-language/schema/raw/master/csl-citation.json"} </w:instrText>
      </w:r>
      <w:r w:rsidR="00DE384D">
        <w:fldChar w:fldCharType="separate"/>
      </w:r>
      <w:r w:rsidR="00430978">
        <w:rPr>
          <w:noProof/>
        </w:rPr>
        <w:t>(Klypina et al. 2017)</w:t>
      </w:r>
      <w:r w:rsidR="00DE384D">
        <w:fldChar w:fldCharType="end"/>
      </w:r>
      <w:r w:rsidR="00A64CE9">
        <w:t>, and long-term</w:t>
      </w:r>
      <w:r w:rsidR="005F17B4">
        <w:t>,</w:t>
      </w:r>
      <w:r w:rsidR="00A64CE9">
        <w:t xml:space="preserve"> </w:t>
      </w:r>
      <w:r w:rsidR="0030601A">
        <w:t>common</w:t>
      </w:r>
      <w:r w:rsidR="00A64CE9">
        <w:t xml:space="preserve">-garden </w:t>
      </w:r>
      <w:r w:rsidR="00737902">
        <w:t xml:space="preserve">field </w:t>
      </w:r>
      <w:r w:rsidR="00A64CE9">
        <w:t>experiments revealed no differences in survival or fecundity between endophyte-infected and endophyte-free plants</w:t>
      </w:r>
      <w:r w:rsidR="00430978">
        <w:t xml:space="preserve"> </w:t>
      </w:r>
      <w:r w:rsidR="00430978">
        <w:fldChar w:fldCharType="begin"/>
      </w:r>
      <w:r w:rsidR="005D06E8">
        <w:instrText xml:space="preserve"> ADDIN ZOTERO_ITEM CSL_CITATION {"citationID":"doxbUIlJ","properties":{"formattedCitation":"(Vallotton et al. 2012; Harrison et al. 2021)","plainCitation":"(Vallotton et al. 2012; Harrison et al. 2021)","noteIndex":0},"citationItems":[{"id":1290,"uris":["http://zotero.org/users/14577776/items/WKLSBJSX"],"itemData":{"id":1290,"type":"article-journal","container-title":"Acta Oecologica","DOI":"10.1016/j.actao.2012.06.006","ISSN":"1146609X","journalAbbreviation":"Acta Oecologica","language":"en","license":"https://www.elsevier.com/tdm/userlicense/1.0/","page":"140-149","source":"DOI.org (Crossref)","title":"Water deficit induces swainsonine of some locoweed taxa, but with no swainsonine-growth trade-off","URL":"https://linkinghub.elsevier.com/retrieve/pii/S1146609X12000914","volume":"43","author":[{"family":"Vallotton","given":"Amber D."},{"family":"Murray","given":"Leigh W."},{"family":"Delaney","given":"Kevin J."},{"family":"Sterling","given":"Tracy M."}],"accessed":{"date-parts":[["2025",6,19]]},"issued":{"date-parts":[["2012",8]]}}},{"id":1272,"uris":["http://zotero.org/users/14577776/items/UNVCE37R"],"itemData":{"id":1272,"type":"article-journal","abstract":"Abstract\n            Endophytes are microbes that live, for at least a portion of their life history, within plant tissues. Endophyte assemblages are often composed of a few abundant taxa and many infrequently observed, low-biomass taxa that are, in a word, rare. The ways in which most endophytes affect host phenotype are unknown; however, certain dominant endophytes can influence plants in ecologically meaningful ways—including by affecting growth and immune system functioning. In contrast, the effects of rare endophytes on their hosts have been unexplored, including how rare endophytes might interact with abundant endophytes to shape plant phenotype. Here, we manipulate both the suite of rare foliar endophytes (including both fungi and bacteria) and Alternaria fulva–a vertically transmitted and usually abundant fungus–within the fabaceous forb Astragalus lentiginosus. We report that rare, low-biomass endophytes affected host size and foliar %N, but only when the heritable fungal endophyte (A. fulva) was not present. A. fulva also reduced plant size and %N, but these deleterious effects on the host could be offset by a negative association we observed between this heritable fungus and a foliar pathogen. These results demonstrate how interactions among endophytic taxa determine the net effects on host plants and suggest that the myriad rare endophytes within plant leaves may be more than a collection of uninfluential, commensal organisms, but instead have meaningful ecological roles.","container-title":"The ISME Journal","DOI":"10.1038/s41396-021-00964-4","ISSN":"1751-7362, 1751-7370","issue":"9","language":"en","license":"https://academic.oup.com/pages/standard-publication-reuse-rights","page":"2763-2778","source":"DOI.org (Crossref)","title":"A suite of rare microbes interacts with a dominant, heritable, fungal endophyte to influence plant trait expression","URL":"https://academic.oup.com/ismej/article/15/9/2763-2778/7474606","volume":"15","author":[{"family":"Harrison","given":"Joshua G"},{"family":"Beltran","given":"Lyra P"},{"family":"Buerkle","given":"C Alex"},{"family":"Cook","given":"Daniel"},{"family":"Gardner","given":"Dale R"},{"family":"Parchman","given":"Thomas L"},{"family":"Poulson","given":"Simon R"},{"family":"Forister","given":"Matthew L"}],"accessed":{"date-parts":[["2025",6,19]]},"issued":{"date-parts":[["2021",9,1]]}}}],"schema":"https://github.com/citation-style-language/schema/raw/master/csl-citation.json"} </w:instrText>
      </w:r>
      <w:r w:rsidR="00430978">
        <w:fldChar w:fldCharType="separate"/>
      </w:r>
      <w:r w:rsidR="005D06E8">
        <w:rPr>
          <w:noProof/>
        </w:rPr>
        <w:t>(Vallotton et al. 2012; Harrison et al. 2021)</w:t>
      </w:r>
      <w:r w:rsidR="00430978">
        <w:fldChar w:fldCharType="end"/>
      </w:r>
      <w:r w:rsidR="005D06E8">
        <w:t>.</w:t>
      </w:r>
    </w:p>
    <w:p w14:paraId="5409CCE9" w14:textId="6D002CF2" w:rsidR="003B72CC" w:rsidRDefault="00C852DA" w:rsidP="00CF18A0">
      <w:pPr>
        <w:ind w:firstLine="720"/>
      </w:pPr>
      <w:r>
        <w:t>Equally important, swainsonine does not function as a defensive compound. Specialist insect herbivores consume locoweeds regardless of endophyte status</w:t>
      </w:r>
      <w:r w:rsidR="002D0052">
        <w:t xml:space="preserve"> </w:t>
      </w:r>
      <w:r w:rsidR="002D0052">
        <w:fldChar w:fldCharType="begin"/>
      </w:r>
      <w:r w:rsidR="00772F25">
        <w:instrText xml:space="preserve"> ADDIN ZOTERO_ITEM CSL_CITATION {"citationID":"J32S2tmF","properties":{"formattedCitation":"(Thompson et al. 1995)","plainCitation":"(Thompson et al. 1995)","noteIndex":0},"citationItems":[{"id":1304,"uris":["http://zotero.org/users/14577776/items/DFQL8ME2"],"itemData":{"id":1304,"type":"article-journal","container-title":"Southwestern Entomologist","issue":"3","page":"325-333","title":"Preference for specific varieties of woolly locoweed by a specialist weevil, &lt;i&gt;Cleonidius travittatus&lt;/i&gt; (Say).","volume":"20","author":[{"family":"Thompson","given":"D. C."},{"family":"Knight","given":"J. L."},{"family":"Sterling","given":"T. M."},{"family":"Murray","given":"L. W."}],"issued":{"date-parts":[["1995"]]}}}],"schema":"https://github.com/citation-style-language/schema/raw/master/csl-citation.json"} </w:instrText>
      </w:r>
      <w:r w:rsidR="002D0052">
        <w:fldChar w:fldCharType="separate"/>
      </w:r>
      <w:r w:rsidR="00772F25">
        <w:rPr>
          <w:noProof/>
        </w:rPr>
        <w:t>(Thompson et al. 1995)</w:t>
      </w:r>
      <w:r w:rsidR="002D0052">
        <w:fldChar w:fldCharType="end"/>
      </w:r>
      <w:r w:rsidR="00772F25">
        <w:t xml:space="preserve">, </w:t>
      </w:r>
      <w:r>
        <w:t>and mammalian herbivores show no evidence of selective avoidance in the field</w:t>
      </w:r>
      <w:r w:rsidR="005D06E8">
        <w:t xml:space="preserve"> </w:t>
      </w:r>
      <w:r w:rsidR="005D06E8">
        <w:fldChar w:fldCharType="begin"/>
      </w:r>
      <w:r w:rsidR="00647787">
        <w:instrText xml:space="preserve"> ADDIN ZOTERO_ITEM CSL_CITATION {"citationID":"tYOvc4wl","properties":{"formattedCitation":"(Cook et al. 2009; Harrison et al. 2021)","plainCitation":"(Cook et al. 2009; Harrison et al. 2021)","noteIndex":0},"citationItems":[{"id":1386,"uris":["http://zotero.org/users/14577776/items/J7YUE9S3"],"itemData":{"id":1386,"type":"article-journal","container-title":"Rangelands","DOI":"10.2111/1551-501X-31.1.16","ISSN":"01900528","issue":"1","journalAbbreviation":"Rangelands","language":"en","license":"https://www.elsevier.com/tdm/userlicense/1.0/","page":"16-21","source":"DOI.org (Crossref)","title":"Locoweed Poisoning in Livestock","URL":"https://linkinghub.elsevier.com/retrieve/pii/S0190052809500806","volume":"31","author":[{"family":"Cook","given":"Daniel"},{"family":"Ralphs","given":"Michael H."},{"family":"Welch","given":"Kevin D."},{"family":"Stegelmeier","given":"Bryan L."}],"accessed":{"date-parts":[["2025",8,4]]},"issued":{"date-parts":[["2009",2]]}}},{"id":1272,"uris":["http://zotero.org/users/14577776/items/UNVCE37R"],"itemData":{"id":1272,"type":"article-journal","abstract":"Abstract\n            Endophytes are microbes that live, for at least a portion of their life history, within plant tissues. Endophyte assemblages are often composed of a few abundant taxa and many infrequently observed, low-biomass taxa that are, in a word, rare. The ways in which most endophytes affect host phenotype are unknown; however, certain dominant endophytes can influence plants in ecologically meaningful ways—including by affecting growth and immune system functioning. In contrast, the effects of rare endophytes on their hosts have been unexplored, including how rare endophytes might interact with abundant endophytes to shape plant phenotype. Here, we manipulate both the suite of rare foliar endophytes (including both fungi and bacteria) and Alternaria fulva–a vertically transmitted and usually abundant fungus–within the fabaceous forb Astragalus lentiginosus. We report that rare, low-biomass endophytes affected host size and foliar %N, but only when the heritable fungal endophyte (A. fulva) was not present. A. fulva also reduced plant size and %N, but these deleterious effects on the host could be offset by a negative association we observed between this heritable fungus and a foliar pathogen. These results demonstrate how interactions among endophytic taxa determine the net effects on host plants and suggest that the myriad rare endophytes within plant leaves may be more than a collection of uninfluential, commensal organisms, but instead have meaningful ecological roles.","container-title":"The ISME Journal","DOI":"10.1038/s41396-021-00964-4","ISSN":"1751-7362, 1751-7370","issue":"9","language":"en","license":"https://academic.oup.com/pages/standard-publication-reuse-rights","page":"2763-2778","source":"DOI.org (Crossref)","title":"A suite of rare microbes interacts with a dominant, heritable, fungal endophyte to influence plant trait expression","URL":"https://academic.oup.com/ismej/article/15/9/2763-2778/7474606","volume":"15","author":[{"family":"Harrison","given":"Joshua G"},{"family":"Beltran","given":"Lyra P"},{"family":"Buerkle","given":"C Alex"},{"family":"Cook","given":"Daniel"},{"family":"Gardner","given":"Dale R"},{"family":"Parchman","given":"Thomas L"},{"family":"Poulson","given":"Simon R"},{"family":"Forister","given":"Matthew L"}],"accessed":{"date-parts":[["2025",6,19]]},"issued":{"date-parts":[["2021",9,1]]}}}],"schema":"https://github.com/citation-style-language/schema/raw/master/csl-citation.json"} </w:instrText>
      </w:r>
      <w:r w:rsidR="005D06E8">
        <w:fldChar w:fldCharType="separate"/>
      </w:r>
      <w:r w:rsidR="006B0397">
        <w:rPr>
          <w:noProof/>
        </w:rPr>
        <w:t>(Cook et al. 2009; Harrison et al. 2021)</w:t>
      </w:r>
      <w:r w:rsidR="005D06E8">
        <w:fldChar w:fldCharType="end"/>
      </w:r>
      <w:r w:rsidR="00647787">
        <w:t xml:space="preserve">. </w:t>
      </w:r>
      <w:r w:rsidR="00AE4F91">
        <w:t xml:space="preserve">While swainsonine causes severe livestock poisoning, this toxicity appears to occur incidentally rather than as an evolved plant defense. </w:t>
      </w:r>
      <w:r w:rsidR="004C4410">
        <w:t>Together, these findings suggest that the locoweed-endophyte association may best be understood within the framework of commensalism</w:t>
      </w:r>
      <w:r w:rsidR="00CF18A0">
        <w:t xml:space="preserve"> – </w:t>
      </w:r>
      <w:r w:rsidR="00F87C84">
        <w:t xml:space="preserve">interactions in which one partner benefits while the other experiences no net effect. </w:t>
      </w:r>
      <w:r w:rsidR="0065616B">
        <w:t xml:space="preserve">This neutrality raises an evolutionary paradox: why does vertical transmission persist in a symbiosis that appears to confer no consistent benefit to the host, yet requires metabolic investment to sustain fungal swainsonine biosynthesis? </w:t>
      </w:r>
      <w:r w:rsidR="00E03A00">
        <w:t xml:space="preserve"> </w:t>
      </w:r>
    </w:p>
    <w:p w14:paraId="5CFD871A" w14:textId="050DAF88" w:rsidR="009C52CF" w:rsidRDefault="005E6658" w:rsidP="00DD6C16">
      <w:pPr>
        <w:ind w:firstLine="720"/>
      </w:pPr>
      <w:r>
        <w:lastRenderedPageBreak/>
        <w:t xml:space="preserve"> </w:t>
      </w:r>
      <w:r w:rsidR="001A7E9B">
        <w:t>Despite extensive research on grass-endophyte systems, comparable work in legumes is rare</w:t>
      </w:r>
      <w:r w:rsidR="00217F4F" w:rsidRPr="00217F4F">
        <w:t>.</w:t>
      </w:r>
      <w:r w:rsidR="00217F4F">
        <w:t xml:space="preserve"> </w:t>
      </w:r>
      <w:r w:rsidR="00995CB2">
        <w:t>M</w:t>
      </w:r>
      <w:r w:rsidR="002D50A0">
        <w:t xml:space="preserve">ost of this work has focused on </w:t>
      </w:r>
      <w:r w:rsidR="00DD48EF">
        <w:t xml:space="preserve">the </w:t>
      </w:r>
      <w:proofErr w:type="spellStart"/>
      <w:r w:rsidR="002D50A0">
        <w:t>Poaceae</w:t>
      </w:r>
      <w:proofErr w:type="spellEnd"/>
      <w:r w:rsidR="00DD48EF">
        <w:t xml:space="preserve"> family</w:t>
      </w:r>
      <w:r w:rsidR="002D50A0">
        <w:t xml:space="preserve"> under controlled greenhouse conditions</w:t>
      </w:r>
      <w:r w:rsidR="00B84300">
        <w:t xml:space="preserve"> </w:t>
      </w:r>
      <w:r w:rsidR="00B84300">
        <w:fldChar w:fldCharType="begin"/>
      </w:r>
      <w:r w:rsidR="00E75B26">
        <w:instrText xml:space="preserve"> ADDIN ZOTERO_ITEM CSL_CITATION {"citationID":"NxthwCRJ","properties":{"formattedCitation":"(May 2016; Mathis and Bronstein 2020; Liu-Xu et al. 2022)","plainCitation":"(May 2016; Mathis and Bronstein 2020; Liu-Xu et al. 2022)","noteIndex":0},"citationItems":[{"id":2097,"uris":["http://zotero.org/users/14577776/items/RJ6NY9NU"],"itemData":{"id":2097,"type":"article-journal","container-title":"American Journal of Botany","DOI":"10.3732/ajb.1600265","ISSN":"0002-9122, 1537-2197","issue":"10","journalAbbreviation":"American J of Botany","language":"en","license":"http://onlinelibrary.wiley.com/termsAndConditions#am","page":"1709-1711","source":"DOI.org (Crossref)","title":"Here come the commensals","URL":"https://bsapubs.onlinelibrary.wiley.com/doi/10.3732/ajb.1600265","volume":"103","author":[{"family":"May","given":"Georgiana"}],"accessed":{"date-parts":[["2025",12,10]]},"issued":{"date-parts":[["2016",10]]}}},{"id":2095,"uris":["http://zotero.org/users/14577776/items/4QRN78US"],"itemData":{"id":2095,"type":"article-journal","abstract":"Commensalisms, interactions between two species in which one species benefits and the other experiences no net effect, are frequently mentioned in the ecological literature but are surprisingly little studied. Here we review and synthesize our limited understanding of commensalism. We then argue that commensalism is not a single type of interaction; rather, it is a suite of phenomena associated with distinct ecological processes and evolutionary consequences. For each form of commensalism we define, we present evidence for how, where, and why it occurs, including when it is evolutionarily persistent and when it is an occasional outcome of interactions that are usually mutualistic or antagonistic. We argue that commensalism should be of great interest in the study of species interactions due to its location at the center of the continuum between positive and negative outcomes. Finally, we offer a roadmap for future research.","container-title":"Annual Review of Ecology, Evolution, and Systematics","DOI":"10.1146/annurev-ecolsys-011720-040844","ISSN":"1543-592X, 1545-2069","issue":"1","journalAbbreviation":"Annu. Rev. Ecol. Evol. Syst.","language":"en","page":"167-189","source":"DOI.org (Crossref)","title":"Our Current Understanding of Commensalism","URL":"https://www.annualreviews.org/doi/10.1146/annurev-ecolsys-011720-040844","volume":"51","author":[{"family":"Mathis","given":"Kaitlyn A."},{"family":"Bronstein","given":"Judith L."}],"accessed":{"date-parts":[["2025",12,10]]},"issued":{"date-parts":[["2020",11,2]]}}},{"id":2107,"uris":["http://zotero.org/users/14577776/items/ZP4J6FVJ"],"itemData":{"id":2107,"type":"article-journal","container-title":"Journal of Plant Interactions","DOI":"10.1080/17429145.2022.2032429","ISSN":"1742-9145, 1742-9153","issue":"1","journalAbbreviation":"Journal of Plant Interactions","language":"en","page":"244-266","source":"DOI.org (Crossref)","title":"Advances in endophytic fungi research: a data analysis of 25 years of achievements and challenges","title-short":"Advances in endophytic fungi research","URL":"https://www.tandfonline.com/doi/full/10.1080/17429145.2022.2032429","volume":"17","author":[{"family":"Liu-Xu","given":"Luisa"},{"family":"Vicedo","given":"Begonya"},{"family":"García-Agustín","given":"Pilar"},{"family":"Llorens","given":"Eugenio"}],"accessed":{"date-parts":[["2025",12,10]]},"issued":{"date-parts":[["2022",12,31]]}}}],"schema":"https://github.com/citation-style-language/schema/raw/master/csl-citation.json"} </w:instrText>
      </w:r>
      <w:r w:rsidR="00B84300">
        <w:fldChar w:fldCharType="separate"/>
      </w:r>
      <w:r w:rsidR="00E75B26">
        <w:rPr>
          <w:noProof/>
        </w:rPr>
        <w:t>(May 2016; Mathis and Bronstein 2020; Liu-Xu et al. 2022)</w:t>
      </w:r>
      <w:r w:rsidR="00B84300">
        <w:fldChar w:fldCharType="end"/>
      </w:r>
      <w:r w:rsidR="002D50A0">
        <w:t>, leaving the role of endophytes in shaping volatile chemistry of dicotyledonous species largely unexplored.</w:t>
      </w:r>
      <w:r w:rsidR="00DD6C16">
        <w:t xml:space="preserve"> </w:t>
      </w:r>
      <w:r w:rsidR="002D50A0">
        <w:t xml:space="preserve">The legume </w:t>
      </w:r>
      <w:r w:rsidR="00DD6C16">
        <w:rPr>
          <w:i/>
          <w:iCs/>
        </w:rPr>
        <w:t>O. sericea</w:t>
      </w:r>
      <w:r w:rsidR="002D50A0">
        <w:t xml:space="preserve"> offers a tractable system to address this gap. By comparing floral and foliar VOCs across greenhouse and common‑garden plants with and without endophyte infection, we test whether</w:t>
      </w:r>
      <w:r w:rsidR="007B540E" w:rsidRPr="007B540E">
        <w:t xml:space="preserve"> endophyte infection alters volatile emissions and reproductive ecology, and whether swainsonine localization integrates with or decouples from volatile signaling.</w:t>
      </w:r>
    </w:p>
    <w:p w14:paraId="46AA00B5" w14:textId="77777777" w:rsidR="009C52CF" w:rsidRDefault="009C52CF" w:rsidP="009C52CF">
      <w:pPr>
        <w:ind w:firstLine="720"/>
      </w:pPr>
    </w:p>
    <w:p w14:paraId="5A94747B" w14:textId="569A573A" w:rsidR="009F2F42" w:rsidRDefault="009F2F42" w:rsidP="008E4087">
      <w:pPr>
        <w:ind w:firstLine="720"/>
      </w:pPr>
      <w:r>
        <w:br w:type="page"/>
      </w:r>
    </w:p>
    <w:p w14:paraId="794F94CC" w14:textId="0F58BE98" w:rsidR="6EDED1DB" w:rsidRPr="000A768A" w:rsidRDefault="000A768A" w:rsidP="007061BD">
      <w:pPr>
        <w:pStyle w:val="Heading1"/>
      </w:pPr>
      <w:r w:rsidRPr="000A768A">
        <w:lastRenderedPageBreak/>
        <w:t>METHODS</w:t>
      </w:r>
    </w:p>
    <w:p w14:paraId="4906B0D0" w14:textId="4F530516" w:rsidR="000D773A" w:rsidRPr="00C723B1" w:rsidRDefault="5312BC26" w:rsidP="00BB48F2">
      <w:pPr>
        <w:pStyle w:val="Heading2"/>
        <w:rPr>
          <w:b/>
          <w:bCs/>
        </w:rPr>
      </w:pPr>
      <w:r w:rsidRPr="00C723B1">
        <w:rPr>
          <w:rFonts w:eastAsiaTheme="minorHAnsi"/>
        </w:rPr>
        <w:t xml:space="preserve">Plant Material </w:t>
      </w:r>
      <w:r w:rsidR="00A37828">
        <w:rPr>
          <w:rFonts w:eastAsiaTheme="minorHAnsi"/>
        </w:rPr>
        <w:t>-</w:t>
      </w:r>
      <w:r w:rsidRPr="00C723B1">
        <w:rPr>
          <w:rFonts w:eastAsiaTheme="minorHAnsi"/>
        </w:rPr>
        <w:t xml:space="preserve"> </w:t>
      </w:r>
      <w:r w:rsidR="00CB52D5" w:rsidRPr="00792B2F">
        <w:rPr>
          <w:rFonts w:eastAsiaTheme="minorHAnsi"/>
        </w:rPr>
        <w:t>Gree</w:t>
      </w:r>
      <w:r w:rsidR="00CB52D5">
        <w:rPr>
          <w:rFonts w:eastAsiaTheme="minorHAnsi"/>
        </w:rPr>
        <w:t>n</w:t>
      </w:r>
      <w:r w:rsidR="00CB52D5" w:rsidRPr="00792B2F">
        <w:rPr>
          <w:rFonts w:eastAsiaTheme="minorHAnsi"/>
        </w:rPr>
        <w:t>house</w:t>
      </w:r>
    </w:p>
    <w:p w14:paraId="24036CB9" w14:textId="345F8263" w:rsidR="002318E9" w:rsidRPr="00F55F94" w:rsidRDefault="009D3D1B" w:rsidP="00CB52D5">
      <w:pPr>
        <w:ind w:firstLine="720"/>
      </w:pPr>
      <w:r>
        <w:t xml:space="preserve">Greenhouse-grown </w:t>
      </w:r>
      <w:r w:rsidR="5312BC26" w:rsidRPr="000D773A">
        <w:rPr>
          <w:i/>
          <w:iCs/>
        </w:rPr>
        <w:t xml:space="preserve">Oxytropis sericea </w:t>
      </w:r>
      <w:r>
        <w:t>seedlings were established from surface-</w:t>
      </w:r>
      <w:r w:rsidR="00DB0F59">
        <w:t>sterilized</w:t>
      </w:r>
      <w:r>
        <w:t xml:space="preserve"> E</w:t>
      </w:r>
      <w:r w:rsidR="00E926D1">
        <w:t xml:space="preserve">+ </w:t>
      </w:r>
      <w:r>
        <w:t xml:space="preserve">and E- seeds </w:t>
      </w:r>
      <w:r w:rsidR="005E7FAC">
        <w:t>germinated on sterile, water-</w:t>
      </w:r>
      <w:r w:rsidR="00DB0F59">
        <w:t>moistened</w:t>
      </w:r>
      <w:r w:rsidR="005E7FAC">
        <w:t xml:space="preserve"> filter paper at room temperature. Upon emergence of the first true leaf, seedlings were transplanted into </w:t>
      </w:r>
      <w:r w:rsidR="00CB52D5" w:rsidRPr="000D773A">
        <w:t xml:space="preserve">Jiffy 7 peat pellet (Plantation Products, LLC, Norton, Massachusetts, USA) </w:t>
      </w:r>
      <w:r w:rsidR="005E7FAC">
        <w:t xml:space="preserve">and thereafter potted into a uniform substrate </w:t>
      </w:r>
      <w:r w:rsidR="00DB0F59">
        <w:t>consisting</w:t>
      </w:r>
      <w:r w:rsidR="005E7FAC">
        <w:t xml:space="preserve"> of Bozeman silt loam, Sunshine Mix no. 1</w:t>
      </w:r>
      <w:r w:rsidR="00CB52D5">
        <w:t xml:space="preserve"> </w:t>
      </w:r>
      <w:r w:rsidR="00CB52D5" w:rsidRPr="000D773A">
        <w:t>(Sun Gro Horticulture, Bellevue, Washington, USA)</w:t>
      </w:r>
      <w:r w:rsidR="005E7FAC">
        <w:t xml:space="preserve">, perlite, and washed fine sand (3:1:1:1 by volume). Plants were maintained under a 16 h </w:t>
      </w:r>
      <w:r w:rsidR="002318E9">
        <w:t>photoperiod (natural light supplemented with mercury-vapor lamps at ~165</w:t>
      </w:r>
      <w:r w:rsidR="005E7FAC">
        <w:t xml:space="preserve"> </w:t>
      </w:r>
      <w:proofErr w:type="spellStart"/>
      <w:r w:rsidR="002318E9" w:rsidRPr="000D773A">
        <w:t>μmol</w:t>
      </w:r>
      <w:proofErr w:type="spellEnd"/>
      <w:r w:rsidR="00F55F94">
        <w:t xml:space="preserve"> m</w:t>
      </w:r>
      <w:r w:rsidR="00F55F94">
        <w:rPr>
          <w:vertAlign w:val="superscript"/>
        </w:rPr>
        <w:t>-2</w:t>
      </w:r>
      <w:r w:rsidR="00F55F94">
        <w:t xml:space="preserve"> s</w:t>
      </w:r>
      <w:r w:rsidR="00F55F94">
        <w:rPr>
          <w:vertAlign w:val="superscript"/>
        </w:rPr>
        <w:t>-1</w:t>
      </w:r>
      <w:r w:rsidR="00F55F94">
        <w:t xml:space="preserve">) in a greenhouse held at 25 </w:t>
      </w:r>
      <w:r w:rsidR="00F55F94" w:rsidRPr="00F55F94">
        <w:t>±</w:t>
      </w:r>
      <w:r w:rsidR="00DB0F59">
        <w:t xml:space="preserve"> 4 </w:t>
      </w:r>
      <w:r w:rsidR="00DB0F59" w:rsidRPr="000D773A">
        <w:rPr>
          <w:color w:val="1C1D1E"/>
        </w:rPr>
        <w:t>°</w:t>
      </w:r>
      <w:r w:rsidR="00DB0F59" w:rsidRPr="000D773A">
        <w:t>C</w:t>
      </w:r>
      <w:r w:rsidR="00DB0F59">
        <w:t xml:space="preserve"> and watered and fertilized biweekly with </w:t>
      </w:r>
      <w:r w:rsidR="00CB52D5" w:rsidRPr="000D773A">
        <w:t>Jack’s Classic 20-20-20 (N-P-K) All Purpose fertilizer (J. R. Peters, Inc, Allentown, Pennsylvania, USA)</w:t>
      </w:r>
      <w:r w:rsidR="00DB0F59">
        <w:t xml:space="preserve"> </w:t>
      </w:r>
      <w:r w:rsidR="00CB52D5">
        <w:t>solution</w:t>
      </w:r>
      <w:r w:rsidR="00DB0F59">
        <w:t xml:space="preserve"> at 100 ppm.</w:t>
      </w:r>
      <w:r w:rsidR="00CB52D5">
        <w:t xml:space="preserve"> </w:t>
      </w:r>
      <w:r w:rsidR="008D29D7">
        <w:t>Seedlings were started in July</w:t>
      </w:r>
      <w:r w:rsidR="001F5FE7">
        <w:t>, and e</w:t>
      </w:r>
      <w:r w:rsidR="00DB0F59">
        <w:t>ndophyte status was confirmed for every plant by both PCR and swainsonine assays</w:t>
      </w:r>
      <w:r w:rsidR="00CB52D5">
        <w:t xml:space="preserve"> </w:t>
      </w:r>
      <w:r w:rsidR="00CB52D5" w:rsidRPr="000D773A">
        <w:t>(USDA-ARS, Logan, UT)</w:t>
      </w:r>
      <w:r w:rsidR="00DB0F59">
        <w:t xml:space="preserve"> prior to volatile collections</w:t>
      </w:r>
      <w:r w:rsidR="00503373">
        <w:t xml:space="preserve"> </w:t>
      </w:r>
      <w:r w:rsidR="00503373">
        <w:fldChar w:fldCharType="begin"/>
      </w:r>
      <w:r w:rsidR="005530A4">
        <w:instrText xml:space="preserve"> ADDIN ZOTERO_ITEM CSL_CITATION {"citationID":"h18etI5d","properties":{"formattedCitation":"(Keith et al. 2025)","plainCitation":"(Keith et al. 2025)","noteIndex":0},"citationItems":[{"id":2100,"uris":["http://zotero.org/users/14577776/items/27X5PEXA"],"itemData":{"id":2100,"type":"article-journal","abstract":"Abstract\n            \n              Plants in the genera\n              Astragalus\n              and\n              Oxytropis\n              , collectively referred to as “locoweeds,” contain swainsonine, a toxic alkaloid synthesized by their fungal endophyte\n              Alternaria\n              sect.\n              Undifilum\n              . The ecological role of this endophyte across the mutualism–commensalism–parasitism continuum is unknown. We examined the fitness traits of\n              Astragalus\n              and\n              Oxytropis\n              species growing with and without the endophyte, in a 9-yr, common-garden experiment. Silky crazyweed (\n              Oxytropis sericea\n              Nutt.) and woolly loco (\n              Astragalus mollissimus\n              Torr.) plants germinated from seeds that naturally host the endophyte (E+) and with it mechanically removed (E−) were established in a common garden in southwest Montana. We measured mortality, gas exchange, flower and seed production, seed germination, and final biomass\n              . Astragalus mollissimus\n              plants grew as annuals under common-garden conditions regardless of endophyte status.\n              Oxytropis sericea\n              plants grew as perennials with survival unaffected by endophyte; however, E+\n              O. sericea\n              plants produced slightly more reproductive stems, flowers per stem, and crown and stem biomass. Maternal effects detected in the parental generation disappeared in subsequent generations. Gas exchange, fecundity, and seed germination were unaffected by endophyte. Contrary to our initial hypothesis of mutualism, the endophyte did not improve host survival or fecundity, nor did we detect transgenerational effects. However, the endophyte did slightly increase the number of reproductive stems and flowers per stem and crown and stem mass in\n              O. sericea\n              , suggesting endophytic effects on carbohydrate biochemistry and pollination parameters should be examined. Lack of selection for or against endophyte-containing plants allows both nontoxic and toxic swainsonine-producing plants to persist in\n              Astragalus\n              and\n              Oxytropis\n              populations, posing a continued threat to grazing livestock.","container-title":"Weed Science","DOI":"10.1017/wsc.2025.10026","ISSN":"0043-1745, 1550-2759","issue":"1","journalAbbreviation":"Weed Sci","language":"en","page":"e55","source":"DOI.org (Crossref)","title":"The locoweed–endophyte complex as commensalism: a multigenerational study","title-short":"The locoweed–endophyte complex as commensalism","URL":"https://www.cambridge.org/core/product/identifier/S004317452510026X/type/journal_article","volume":"73","author":[{"family":"Keith","given":"Barbara"},{"family":"Ahortor","given":"Mcbeth"},{"family":"Linse","given":"Greta"},{"family":"Greenwood","given":"Mark"},{"family":"Ward","given":"Sarah"},{"family":"Cook","given":"Daniel"},{"family":"Sterling","given":"Tracy M."}],"accessed":{"date-parts":[["2025",12,10]]},"issued":{"date-parts":[["2025"]]}}}],"schema":"https://github.com/citation-style-language/schema/raw/master/csl-citation.json"} </w:instrText>
      </w:r>
      <w:r w:rsidR="00503373">
        <w:fldChar w:fldCharType="separate"/>
      </w:r>
      <w:r w:rsidR="005530A4">
        <w:rPr>
          <w:noProof/>
        </w:rPr>
        <w:t>(Keith et al. 2025)</w:t>
      </w:r>
      <w:r w:rsidR="00503373">
        <w:fldChar w:fldCharType="end"/>
      </w:r>
      <w:r w:rsidR="005530A4">
        <w:t>.</w:t>
      </w:r>
    </w:p>
    <w:p w14:paraId="1612EC42" w14:textId="3873B72E" w:rsidR="002318E9" w:rsidRDefault="00321C88" w:rsidP="000D773A">
      <w:pPr>
        <w:ind w:firstLine="720"/>
      </w:pPr>
      <w:r>
        <w:t>Seedling recruits</w:t>
      </w:r>
      <w:r w:rsidR="00DB0F59">
        <w:t xml:space="preserve"> emerged naturally between 2021 and 2023</w:t>
      </w:r>
      <w:r w:rsidR="00531AEB">
        <w:t xml:space="preserve"> in a garden established at the Arthur H. Post Agronomy Farm  </w:t>
      </w:r>
      <w:r w:rsidR="00531AEB" w:rsidRPr="6EDED1DB">
        <w:rPr>
          <w:color w:val="343A40"/>
        </w:rPr>
        <w:t>(</w:t>
      </w:r>
      <w:r w:rsidR="00531AEB" w:rsidRPr="005255EA">
        <w:rPr>
          <w:color w:val="343A40"/>
        </w:rPr>
        <w:t>45°40'37.7"N 111°09'31.8"W</w:t>
      </w:r>
      <w:r w:rsidR="00531AEB" w:rsidRPr="6EDED1DB">
        <w:rPr>
          <w:color w:val="343A40"/>
        </w:rPr>
        <w:t>)</w:t>
      </w:r>
      <w:r w:rsidR="00531AEB">
        <w:rPr>
          <w:color w:val="343A40"/>
        </w:rPr>
        <w:t xml:space="preserve"> near Bozeman, MT</w:t>
      </w:r>
      <w:r w:rsidR="003D5E25">
        <w:t xml:space="preserve">. These recruits </w:t>
      </w:r>
      <w:r w:rsidR="00991025">
        <w:t xml:space="preserve">were progeny </w:t>
      </w:r>
      <w:r w:rsidR="004D5A7A">
        <w:t>of 150 paired locoweed plants planted during</w:t>
      </w:r>
      <w:r w:rsidR="00664DBF">
        <w:t xml:space="preserve"> a decade-long (2011-2020) common garden</w:t>
      </w:r>
      <w:r w:rsidR="005530A4">
        <w:t xml:space="preserve"> </w:t>
      </w:r>
      <w:r w:rsidR="005530A4">
        <w:fldChar w:fldCharType="begin"/>
      </w:r>
      <w:r w:rsidR="005530A4">
        <w:instrText xml:space="preserve"> ADDIN ZOTERO_ITEM CSL_CITATION {"citationID":"CoDnG3Pt","properties":{"formattedCitation":"(Keith et al. 2025)","plainCitation":"(Keith et al. 2025)","noteIndex":0},"citationItems":[{"id":2100,"uris":["http://zotero.org/users/14577776/items/27X5PEXA"],"itemData":{"id":2100,"type":"article-journal","abstract":"Abstract\n            \n              Plants in the genera\n              Astragalus\n              and\n              Oxytropis\n              , collectively referred to as “locoweeds,” contain swainsonine, a toxic alkaloid synthesized by their fungal endophyte\n              Alternaria\n              sect.\n              Undifilum\n              . The ecological role of this endophyte across the mutualism–commensalism–parasitism continuum is unknown. We examined the fitness traits of\n              Astragalus\n              and\n              Oxytropis\n              species growing with and without the endophyte, in a 9-yr, common-garden experiment. Silky crazyweed (\n              Oxytropis sericea\n              Nutt.) and woolly loco (\n              Astragalus mollissimus\n              Torr.) plants germinated from seeds that naturally host the endophyte (E+) and with it mechanically removed (E−) were established in a common garden in southwest Montana. We measured mortality, gas exchange, flower and seed production, seed germination, and final biomass\n              . Astragalus mollissimus\n              plants grew as annuals under common-garden conditions regardless of endophyte status.\n              Oxytropis sericea\n              plants grew as perennials with survival unaffected by endophyte; however, E+\n              O. sericea\n              plants produced slightly more reproductive stems, flowers per stem, and crown and stem biomass. Maternal effects detected in the parental generation disappeared in subsequent generations. Gas exchange, fecundity, and seed germination were unaffected by endophyte. Contrary to our initial hypothesis of mutualism, the endophyte did not improve host survival or fecundity, nor did we detect transgenerational effects. However, the endophyte did slightly increase the number of reproductive stems and flowers per stem and crown and stem mass in\n              O. sericea\n              , suggesting endophytic effects on carbohydrate biochemistry and pollination parameters should be examined. Lack of selection for or against endophyte-containing plants allows both nontoxic and toxic swainsonine-producing plants to persist in\n              Astragalus\n              and\n              Oxytropis\n              populations, posing a continued threat to grazing livestock.","container-title":"Weed Science","DOI":"10.1017/wsc.2025.10026","ISSN":"0043-1745, 1550-2759","issue":"1","journalAbbreviation":"Weed Sci","language":"en","page":"e55","source":"DOI.org (Crossref)","title":"The locoweed–endophyte complex as commensalism: a multigenerational study","title-short":"The locoweed–endophyte complex as commensalism","URL":"https://www.cambridge.org/core/product/identifier/S004317452510026X/type/journal_article","volume":"73","author":[{"family":"Keith","given":"Barbara"},{"family":"Ahortor","given":"Mcbeth"},{"family":"Linse","given":"Greta"},{"family":"Greenwood","given":"Mark"},{"family":"Ward","given":"Sarah"},{"family":"Cook","given":"Daniel"},{"family":"Sterling","given":"Tracy M."}],"accessed":{"date-parts":[["2025",12,10]]},"issued":{"date-parts":[["2025"]]}}}],"schema":"https://github.com/citation-style-language/schema/raw/master/csl-citation.json"} </w:instrText>
      </w:r>
      <w:r w:rsidR="005530A4">
        <w:fldChar w:fldCharType="separate"/>
      </w:r>
      <w:r w:rsidR="005530A4">
        <w:rPr>
          <w:noProof/>
        </w:rPr>
        <w:t>(Keith et al. 2025)</w:t>
      </w:r>
      <w:r w:rsidR="005530A4">
        <w:fldChar w:fldCharType="end"/>
      </w:r>
      <w:r w:rsidR="00776992" w:rsidRPr="00776992">
        <w:t xml:space="preserve">: one member of each pair retained its fungal endophyte (E+), while </w:t>
      </w:r>
      <w:r w:rsidR="00F21633">
        <w:t xml:space="preserve">we </w:t>
      </w:r>
      <w:r w:rsidR="00E8634C">
        <w:t>mechanically removed</w:t>
      </w:r>
      <w:r w:rsidR="00776992" w:rsidRPr="00776992">
        <w:t xml:space="preserve"> the endophyte</w:t>
      </w:r>
      <w:r w:rsidR="00C94D48">
        <w:t xml:space="preserve"> from </w:t>
      </w:r>
      <w:r w:rsidR="004D5A7A">
        <w:t xml:space="preserve">the </w:t>
      </w:r>
      <w:r w:rsidR="00C94D48">
        <w:t>other member of each pair</w:t>
      </w:r>
      <w:r w:rsidR="00776992" w:rsidRPr="00776992">
        <w:t xml:space="preserve"> (E</w:t>
      </w:r>
      <w:r w:rsidR="00F35899">
        <w:t>-</w:t>
      </w:r>
      <w:r w:rsidR="00776992" w:rsidRPr="00776992">
        <w:t>)</w:t>
      </w:r>
      <w:r w:rsidR="00867FDD">
        <w:t xml:space="preserve"> using methods from </w:t>
      </w:r>
      <w:proofErr w:type="spellStart"/>
      <w:r w:rsidR="00867FDD">
        <w:t>Klypina</w:t>
      </w:r>
      <w:proofErr w:type="spellEnd"/>
      <w:r w:rsidR="00867FDD">
        <w:t xml:space="preserve"> et al. (2017)</w:t>
      </w:r>
      <w:r w:rsidR="00776992" w:rsidRPr="00776992">
        <w:t>.</w:t>
      </w:r>
      <w:r w:rsidR="000B0236">
        <w:t xml:space="preserve"> </w:t>
      </w:r>
      <w:r w:rsidR="00CB52D5">
        <w:rPr>
          <w:color w:val="343A40"/>
        </w:rPr>
        <w:t xml:space="preserve">Seedlings were tagged at emergence  to track individual plants </w:t>
      </w:r>
      <w:r w:rsidR="00ED6CD8">
        <w:rPr>
          <w:color w:val="343A40"/>
        </w:rPr>
        <w:t>and swain</w:t>
      </w:r>
      <w:r w:rsidR="0077634D">
        <w:rPr>
          <w:color w:val="343A40"/>
        </w:rPr>
        <w:t>s</w:t>
      </w:r>
      <w:r w:rsidR="00ED6CD8">
        <w:rPr>
          <w:color w:val="343A40"/>
        </w:rPr>
        <w:t xml:space="preserve">onine content </w:t>
      </w:r>
      <w:r w:rsidR="004F740B">
        <w:rPr>
          <w:color w:val="343A40"/>
        </w:rPr>
        <w:t xml:space="preserve">was </w:t>
      </w:r>
      <w:r w:rsidR="0077634D">
        <w:rPr>
          <w:color w:val="343A40"/>
        </w:rPr>
        <w:t>analyzed</w:t>
      </w:r>
      <w:r w:rsidR="0078143F">
        <w:rPr>
          <w:color w:val="343A40"/>
        </w:rPr>
        <w:t xml:space="preserve"> to determine endophyte presence</w:t>
      </w:r>
      <w:r w:rsidR="0077634D">
        <w:rPr>
          <w:color w:val="343A40"/>
        </w:rPr>
        <w:t xml:space="preserve"> in each</w:t>
      </w:r>
      <w:r w:rsidR="00CB52D5">
        <w:rPr>
          <w:color w:val="343A40"/>
        </w:rPr>
        <w:t xml:space="preserve">. </w:t>
      </w:r>
      <w:r w:rsidR="00662376">
        <w:rPr>
          <w:color w:val="343A40"/>
        </w:rPr>
        <w:t xml:space="preserve">Across 2021-2023, a total of </w:t>
      </w:r>
      <w:r w:rsidR="00446E9E">
        <w:rPr>
          <w:color w:val="343A40"/>
        </w:rPr>
        <w:t>1147 seedlings</w:t>
      </w:r>
      <w:r w:rsidR="004712E2">
        <w:rPr>
          <w:color w:val="343A40"/>
        </w:rPr>
        <w:t xml:space="preserve"> </w:t>
      </w:r>
      <w:r w:rsidR="000F15F0">
        <w:rPr>
          <w:color w:val="343A40"/>
        </w:rPr>
        <w:t xml:space="preserve">emerged and </w:t>
      </w:r>
      <w:r w:rsidR="00662376">
        <w:rPr>
          <w:color w:val="343A40"/>
        </w:rPr>
        <w:t xml:space="preserve">were monitored </w:t>
      </w:r>
      <w:r w:rsidR="004712E2">
        <w:rPr>
          <w:color w:val="343A40"/>
        </w:rPr>
        <w:t xml:space="preserve">(E+ = 671; E- </w:t>
      </w:r>
      <w:r w:rsidR="009B54AE">
        <w:rPr>
          <w:color w:val="343A40"/>
        </w:rPr>
        <w:t>= 476</w:t>
      </w:r>
      <w:r w:rsidR="00662376">
        <w:rPr>
          <w:color w:val="343A40"/>
        </w:rPr>
        <w:t>)</w:t>
      </w:r>
      <w:r w:rsidR="00CB52D5">
        <w:rPr>
          <w:color w:val="343A40"/>
        </w:rPr>
        <w:t xml:space="preserve">. </w:t>
      </w:r>
    </w:p>
    <w:p w14:paraId="50B9BE41" w14:textId="77777777" w:rsidR="004A6B9F" w:rsidRDefault="004A6B9F" w:rsidP="000D773A"/>
    <w:p w14:paraId="3BFC2C02" w14:textId="1215603C" w:rsidR="003A3E75" w:rsidRDefault="00CC6642" w:rsidP="00BB48F2">
      <w:pPr>
        <w:pStyle w:val="Heading2"/>
      </w:pPr>
      <w:r>
        <w:lastRenderedPageBreak/>
        <w:t>Volatile Organic Compound</w:t>
      </w:r>
      <w:r w:rsidR="0003558E">
        <w:t xml:space="preserve"> Collection</w:t>
      </w:r>
      <w:r w:rsidR="00966E51">
        <w:t xml:space="preserve"> </w:t>
      </w:r>
    </w:p>
    <w:p w14:paraId="3D6853AD" w14:textId="22D4BA24" w:rsidR="005D4942" w:rsidRDefault="003A3E75" w:rsidP="005D4942">
      <w:pPr>
        <w:pStyle w:val="Heading3"/>
      </w:pPr>
      <w:r w:rsidRPr="002F316E">
        <w:t>Field</w:t>
      </w:r>
      <w:r w:rsidR="0003558E" w:rsidRPr="002F316E">
        <w:t xml:space="preserve"> </w:t>
      </w:r>
      <w:r w:rsidR="0003558E" w:rsidRPr="005D4942">
        <w:t>Collection</w:t>
      </w:r>
    </w:p>
    <w:p w14:paraId="1FDB7F19" w14:textId="1282E17B" w:rsidR="00277443" w:rsidRDefault="00637B54" w:rsidP="005D4942">
      <w:pPr>
        <w:ind w:firstLine="720"/>
      </w:pPr>
      <w:r>
        <w:t>We used a pull sampling tech</w:t>
      </w:r>
      <w:r w:rsidR="00D07D9E">
        <w:t xml:space="preserve">nique similar to that </w:t>
      </w:r>
      <w:r w:rsidR="00B26E87">
        <w:t>described</w:t>
      </w:r>
      <w:r w:rsidR="00D07D9E">
        <w:t xml:space="preserve"> in Perez</w:t>
      </w:r>
      <w:r w:rsidR="005D0117">
        <w:t xml:space="preserve"> </w:t>
      </w:r>
      <w:r w:rsidR="005D0117">
        <w:fldChar w:fldCharType="begin"/>
      </w:r>
      <w:r w:rsidR="00116C88">
        <w:instrText xml:space="preserve"> ADDIN ZOTERO_ITEM CSL_CITATION {"citationID":"iMexIuUN","properties":{"formattedCitation":"(2009)","plainCitation":"(2009)","noteIndex":0},"citationItems":[{"id":426,"uris":["http://zotero.org/users/14577776/items/FUESMU8Z"],"itemData":{"id":426,"type":"thesis","citation-key":"Perez2009","note":"issue: August","publisher":"Montana State University","publisher-place":"Bozeman","title":"Behavioral and Sensory Responses of Endemic Braconid Parasitoids to Changes in Volatile Emissions Induced by Wheat Stem Sawfly, &lt;i&gt;Cephus cinctus&lt;/i&gt; Herbivory","author":[{"family":"Perez","given":"Oscar G"}],"issued":{"date-parts":[["2009"]]}},"suppress-author":true}],"schema":"https://github.com/citation-style-language/schema/raw/master/csl-citation.json"} </w:instrText>
      </w:r>
      <w:r w:rsidR="005D0117">
        <w:fldChar w:fldCharType="separate"/>
      </w:r>
      <w:r w:rsidR="005D0117">
        <w:rPr>
          <w:noProof/>
        </w:rPr>
        <w:t>(2009)</w:t>
      </w:r>
      <w:r w:rsidR="005D0117">
        <w:fldChar w:fldCharType="end"/>
      </w:r>
      <w:r w:rsidR="005D0117">
        <w:t xml:space="preserve"> and Malone et al. </w:t>
      </w:r>
      <w:r w:rsidR="005D0117">
        <w:fldChar w:fldCharType="begin"/>
      </w:r>
      <w:r w:rsidR="0049019A">
        <w:instrText xml:space="preserve"> ADDIN ZOTERO_ITEM CSL_CITATION {"citationID":"58ylU4Dj","properties":{"formattedCitation":"(2022)","plainCitation":"(2022)","noteIndex":0},"citationItems":[{"id":1301,"uris":["http://zotero.org/users/14577776/items/AWRE5SR6"],"itemData":{"id":1301,"type":"article-journal","abstract":"AbstractCrops emit a variety of volatile organic compounds (VOCs) that serve as attractants or repellents for pests and their natural enemies. Crop rotations, off-farm chemical inputs, and mechanical and cultural tactics – collectively called cropping systems – alter soil nutrients, moisture content, and microbial communities, all of which have the potential to alter crop VOC emissions. Soil legacy effects of diversified cropping systems have been shown to enhance crop VOC emissions in greenhouse studies, but how they influence emissions under field conditions remains virtually unknown. To determine the effect of cropping systems on plant VOC emissions in the field, air samples were collected from the headspace of wheat (Triticum aestivum L. Judee) grown in simplified wheat-fallow rotations or diversified wheat-cover crop rotations where cover crops were terminated by grazing cattle. Across two growing seasons, wheat grown in rotation with fallow emitted greater amounts of Z-3-hexenyl acetate and β-ocimene, key attractants for wheat stem sawfly (Cephus cinctus Norton), a major pest of wheat. While overall VOC blends were relatively similar among cropping system during the first growing season, emissions varied substantially in the second year of this study where wheat grown in rotation with cover crops emitted substantially greater quantities of volatile compounds characteristic of abiotic stress. Below-average precipitation in the second growing season, in addition to reduced soil water content in cover crop rotations, suggests that cropping system effects on wheat VOCs may have been driven primarily by water availability, a major factor limiting crop growth in dryland agriculture. While the specific mechanisms driving changes in VOC emissions were not explicitly tested, this work shows that agricultural practices applied in one growing season can differentially influence crop VOC emissions in the next through soil legacy effects, illustrating additional avenues through which cropping systems may be leveraged to enhance pest management.","container-title":"Renewable Agriculture and Food Systems","DOI":"10.1017/s174217052200014x","ISSN":"1742-1705, 1742-1713","issue":"5","journalAbbreviation":"Renew. Agric. Food Syst.","language":"en","license":"http://creativecommons.org/licenses/by/4.0/","page":"375-381","publisher":"Cambridge University Press (CUP)","source":"Crossref","title":"Cropping systems alter plant volatile emissions in the field through soil legacy effects","URL":"https://www.cambridge.org/core/product/identifier/S174217052200014X/type/journal_article","volume":"37","author":[{"family":"Malone","given":"Shealyn C."},{"family":"Menalled","given":"Fabian D."},{"family":"Weaver","given":"David K."},{"family":"Seipel","given":"Tim F."},{"family":"Hofland","given":"Megan L."},{"family":"Runyon","given":"Justin B."},{"family":"Bourgault","given":"Maryse"},{"family":"Boss","given":"Darrin L."},{"family":"Trowbridge","given":"Amy M."}],"accessed":{"date-parts":[["2025",7,7]]},"issued":{"date-parts":[["2022",10]]}},"suppress-author":true}],"schema":"https://github.com/citation-style-language/schema/raw/master/csl-citation.json"} </w:instrText>
      </w:r>
      <w:r w:rsidR="005D0117">
        <w:fldChar w:fldCharType="separate"/>
      </w:r>
      <w:r w:rsidR="00B461CB">
        <w:rPr>
          <w:noProof/>
        </w:rPr>
        <w:t>(2022)</w:t>
      </w:r>
      <w:r w:rsidR="005D0117">
        <w:fldChar w:fldCharType="end"/>
      </w:r>
      <w:r w:rsidR="00B461CB">
        <w:t>.</w:t>
      </w:r>
      <w:r>
        <w:t xml:space="preserve"> VOCs were collected from the headspace of chambers constructed from plastic </w:t>
      </w:r>
      <w:r w:rsidR="00921944">
        <w:t xml:space="preserve">oven bags (Reynolds </w:t>
      </w:r>
      <w:r w:rsidR="002F5212">
        <w:t xml:space="preserve">Consumer Products, </w:t>
      </w:r>
      <w:r w:rsidR="0038519A">
        <w:t>Louisville, KY)</w:t>
      </w:r>
      <w:r w:rsidR="0032272A">
        <w:t>. Bags were washed and baked</w:t>
      </w:r>
      <w:r w:rsidR="00E624AE">
        <w:t xml:space="preserve"> at </w:t>
      </w:r>
      <w:r w:rsidR="00E624AE" w:rsidRPr="0057250D">
        <w:t>200</w:t>
      </w:r>
      <w:r w:rsidR="00115508">
        <w:t xml:space="preserve"> </w:t>
      </w:r>
      <w:r w:rsidR="00115508" w:rsidRPr="00E03E56">
        <w:t>°</w:t>
      </w:r>
      <w:r w:rsidR="00E624AE" w:rsidRPr="0057250D">
        <w:t>C</w:t>
      </w:r>
      <w:r w:rsidR="00E624AE">
        <w:t xml:space="preserve"> in an autoclave oven</w:t>
      </w:r>
      <w:r w:rsidR="0032272A">
        <w:t xml:space="preserve"> prior to volatile collection</w:t>
      </w:r>
      <w:r w:rsidR="00115508">
        <w:t xml:space="preserve"> to remove any </w:t>
      </w:r>
      <w:r w:rsidR="003A385A">
        <w:t>residual volatiles from manufacturing</w:t>
      </w:r>
      <w:r w:rsidR="0032272A">
        <w:t>.</w:t>
      </w:r>
      <w:r>
        <w:t xml:space="preserve"> </w:t>
      </w:r>
      <w:r w:rsidR="00D07D9E">
        <w:t>VOCs</w:t>
      </w:r>
      <w:r w:rsidR="003C5E76" w:rsidRPr="00360BBA">
        <w:t xml:space="preserve"> were collected using a custom-built, portable volatile collection system, powered by a 12V / </w:t>
      </w:r>
      <w:r w:rsidR="00EA323F" w:rsidRPr="00360BBA">
        <w:t>5</w:t>
      </w:r>
      <w:r w:rsidR="003C5E76" w:rsidRPr="00360BBA">
        <w:t xml:space="preserve">A </w:t>
      </w:r>
      <w:r w:rsidR="00EA323F" w:rsidRPr="00360BBA">
        <w:t>Duracell®</w:t>
      </w:r>
      <w:r w:rsidR="00CC6642" w:rsidRPr="00360BBA">
        <w:t xml:space="preserve"> Ultra sealed battery</w:t>
      </w:r>
      <w:r w:rsidR="003C5E76" w:rsidRPr="00360BBA">
        <w:t xml:space="preserve">. The system included a 12V diaphragm vacuum pump (Model 5002-0408 DC-PM, 3000 rpm, </w:t>
      </w:r>
      <w:proofErr w:type="spellStart"/>
      <w:r w:rsidR="003C5E76" w:rsidRPr="00360BBA">
        <w:t>Rietschle</w:t>
      </w:r>
      <w:proofErr w:type="spellEnd"/>
      <w:r w:rsidR="003C5E76" w:rsidRPr="00360BBA">
        <w:t xml:space="preserve"> Thomas) controlled via a basic on/off light switch, which provided the vacuum needed to draw air through the system. Airflow</w:t>
      </w:r>
      <w:r w:rsidR="003C5E76" w:rsidRPr="003C5E76">
        <w:t xml:space="preserve"> was regulated using a pair of flowmeters (Series MR 3000, Model 3A13, Key Instruments) connected via </w:t>
      </w:r>
      <w:proofErr w:type="spellStart"/>
      <w:r w:rsidR="003C5E76" w:rsidRPr="003C5E76">
        <w:t>Tygon</w:t>
      </w:r>
      <w:proofErr w:type="spellEnd"/>
      <w:r w:rsidR="003C5E76" w:rsidRPr="003C5E76">
        <w:t>® tubing.</w:t>
      </w:r>
      <w:r w:rsidR="00CC6642">
        <w:t xml:space="preserve"> </w:t>
      </w:r>
      <w:r w:rsidR="00E67FA2" w:rsidRPr="00E67FA2">
        <w:t xml:space="preserve">Each sampling line consisted of a 1.5 m </w:t>
      </w:r>
      <w:proofErr w:type="spellStart"/>
      <w:r w:rsidR="00E67FA2" w:rsidRPr="00E67FA2">
        <w:t>Tygon</w:t>
      </w:r>
      <w:proofErr w:type="spellEnd"/>
      <w:r w:rsidR="00E67FA2" w:rsidRPr="00E67FA2">
        <w:t xml:space="preserve">® tube (0.95 cm OD </w:t>
      </w:r>
      <w:r w:rsidR="00615180">
        <w:t>x</w:t>
      </w:r>
      <w:r w:rsidR="00E67FA2" w:rsidRPr="00E67FA2">
        <w:t xml:space="preserve"> 0.64 cm ID) leading from the flowmeters to a volatile collection trap (6.35 mm OD </w:t>
      </w:r>
      <w:r w:rsidR="00615180">
        <w:t>x</w:t>
      </w:r>
      <w:r w:rsidR="00E67FA2" w:rsidRPr="00E67FA2">
        <w:t xml:space="preserve"> 76 mm length, glass; Analytical Research Systems, Inc.) filled with 30 mg of Super-Q adsorbent (Alltech Associates, Deerfield, IL). VOCs were adsorbed onto the Super-Q during sampling and eluted immediately after each collection period.</w:t>
      </w:r>
      <w:r w:rsidR="00CC6642">
        <w:t xml:space="preserve"> </w:t>
      </w:r>
      <w:r w:rsidR="008C4499" w:rsidRPr="008C4499">
        <w:t xml:space="preserve">The volatile collection apparatus was enclosed in a plastic bucket (25 </w:t>
      </w:r>
      <w:r w:rsidR="00615180">
        <w:t>x</w:t>
      </w:r>
      <w:r w:rsidR="008C4499" w:rsidRPr="008C4499">
        <w:t xml:space="preserve"> 25 </w:t>
      </w:r>
      <w:r w:rsidR="00615180">
        <w:t>x</w:t>
      </w:r>
      <w:r w:rsidR="008C4499" w:rsidRPr="008C4499">
        <w:t xml:space="preserve"> 20 cm) containing a smaller metal housing (15 </w:t>
      </w:r>
      <w:r w:rsidR="00615180">
        <w:t xml:space="preserve">x </w:t>
      </w:r>
      <w:r w:rsidR="008C4499" w:rsidRPr="008C4499">
        <w:t xml:space="preserve">15 </w:t>
      </w:r>
      <w:r w:rsidR="00615180">
        <w:t>x</w:t>
      </w:r>
      <w:r w:rsidR="008C4499" w:rsidRPr="008C4499">
        <w:t xml:space="preserve"> 7 cm) that held the flowmeters and associated tubing. </w:t>
      </w:r>
      <w:proofErr w:type="spellStart"/>
      <w:r w:rsidR="008C4499" w:rsidRPr="008C4499">
        <w:t>Tygon</w:t>
      </w:r>
      <w:proofErr w:type="spellEnd"/>
      <w:r w:rsidR="008C4499" w:rsidRPr="008C4499">
        <w:t>® tubing extended from the metal housing to individual collection traps positioned in the field.</w:t>
      </w:r>
    </w:p>
    <w:p w14:paraId="641E78B0" w14:textId="31C3CD32" w:rsidR="00FE0395" w:rsidRDefault="008C4499" w:rsidP="00EE17B0">
      <w:pPr>
        <w:ind w:firstLine="720"/>
      </w:pPr>
      <w:r>
        <w:t xml:space="preserve">For each sampling event, two </w:t>
      </w:r>
      <w:r w:rsidR="00BA60CD">
        <w:t xml:space="preserve">similar </w:t>
      </w:r>
      <w:r>
        <w:t>plants of opposing endophyte status</w:t>
      </w:r>
      <w:r w:rsidR="00962035">
        <w:t xml:space="preserve"> (as determined </w:t>
      </w:r>
      <w:r w:rsidR="009C6025">
        <w:t>prior</w:t>
      </w:r>
      <w:r w:rsidR="00962035">
        <w:t xml:space="preserve"> </w:t>
      </w:r>
      <w:r w:rsidR="009C6025">
        <w:t>via</w:t>
      </w:r>
      <w:r w:rsidR="00962035">
        <w:t xml:space="preserve"> lab sampling) were selected within a 5</w:t>
      </w:r>
      <w:r w:rsidR="00B461CB">
        <w:t>-</w:t>
      </w:r>
      <w:r w:rsidR="00962035">
        <w:t>m radius</w:t>
      </w:r>
      <w:r w:rsidR="00EE17B0">
        <w:t>.</w:t>
      </w:r>
      <w:r w:rsidR="00962035">
        <w:t xml:space="preserve"> </w:t>
      </w:r>
      <w:r w:rsidR="00EE17B0">
        <w:rPr>
          <w:color w:val="343A40"/>
        </w:rPr>
        <w:t xml:space="preserve">This paired design controls for microsite heterogeneity by placing E+ and E- individuals in immediate proximity, providing a robust test of symbiotic effects on plant chemistry. </w:t>
      </w:r>
      <w:r w:rsidR="00962035">
        <w:t xml:space="preserve">For </w:t>
      </w:r>
      <w:r w:rsidR="005C1C45">
        <w:t xml:space="preserve">each collection type, five stems were </w:t>
      </w:r>
      <w:r w:rsidR="005C1C45">
        <w:lastRenderedPageBreak/>
        <w:t>selected</w:t>
      </w:r>
      <w:r w:rsidR="00962035">
        <w:t xml:space="preserve">. </w:t>
      </w:r>
      <w:r w:rsidR="005C1C45">
        <w:t>The oven bag</w:t>
      </w:r>
      <w:r w:rsidR="00CE1916" w:rsidRPr="00CE1916">
        <w:t xml:space="preserve"> was placed over the selected stems to create a collection chamber. A small hole was cut at the top of each bag to allow airflow, and the base of the bag was secured around the stems using a twist tie.</w:t>
      </w:r>
      <w:r w:rsidR="00CC6642">
        <w:t xml:space="preserve"> </w:t>
      </w:r>
      <w:r w:rsidR="00CE1916">
        <w:t xml:space="preserve">The collection bucket was positioned between the paired plants, and the </w:t>
      </w:r>
      <w:proofErr w:type="spellStart"/>
      <w:r w:rsidR="00CE1916" w:rsidRPr="008C4499">
        <w:t>Tygon</w:t>
      </w:r>
      <w:proofErr w:type="spellEnd"/>
      <w:r w:rsidR="00CE1916" w:rsidRPr="008C4499">
        <w:t>®</w:t>
      </w:r>
      <w:r w:rsidR="00CE1916">
        <w:t xml:space="preserve"> tubing was connected from </w:t>
      </w:r>
      <w:r w:rsidR="005C1C45">
        <w:t>t</w:t>
      </w:r>
      <w:r w:rsidR="00CE1916">
        <w:t xml:space="preserve">he flowmeters to the volatile traps. The traps were inserted vertically into the oven bags, positioned among the stem to capture emitted volatiles. </w:t>
      </w:r>
      <w:r w:rsidR="002D26A9">
        <w:t xml:space="preserve">Leaf volatiles were collected in May, and flower volatiles were collected in June. </w:t>
      </w:r>
      <w:r w:rsidR="00C3522A">
        <w:t xml:space="preserve">Following each 2-hour collection period, traps were removed, labeled, </w:t>
      </w:r>
      <w:r w:rsidR="00F70EDD">
        <w:t>wrapped</w:t>
      </w:r>
      <w:r w:rsidR="00C3522A">
        <w:t xml:space="preserve"> in aluminum foil, and transported to the laboratory for elution. After trap removal, the </w:t>
      </w:r>
      <w:r w:rsidR="00F70EDD">
        <w:t xml:space="preserve">stems enclosed in each bag were clipped at the base of the oven bag, harvested, and returned to the lab for fresh weight measurements. </w:t>
      </w:r>
    </w:p>
    <w:p w14:paraId="0B34133D" w14:textId="197F3E9F" w:rsidR="005D4942" w:rsidRDefault="009E5B64" w:rsidP="005D4942">
      <w:pPr>
        <w:pStyle w:val="Heading3"/>
      </w:pPr>
      <w:r w:rsidRPr="00A714BA">
        <w:t>Greenhouse</w:t>
      </w:r>
      <w:r w:rsidR="00CC6642" w:rsidRPr="00A714BA">
        <w:t xml:space="preserve"> </w:t>
      </w:r>
      <w:r w:rsidR="00BF7941" w:rsidRPr="00A714BA">
        <w:t xml:space="preserve">VOC </w:t>
      </w:r>
      <w:r w:rsidR="00CC6642" w:rsidRPr="00A714BA">
        <w:t>Collection</w:t>
      </w:r>
    </w:p>
    <w:p w14:paraId="3D4EB45D" w14:textId="78243600" w:rsidR="00F72B96" w:rsidRPr="00BE0EC0" w:rsidRDefault="007B6C5D" w:rsidP="005D4942">
      <w:pPr>
        <w:ind w:firstLine="720"/>
      </w:pPr>
      <w:r>
        <w:t xml:space="preserve">VOC collections </w:t>
      </w:r>
      <w:r w:rsidR="00F72B96" w:rsidRPr="00F72B96">
        <w:t xml:space="preserve">were carried out using a protocol consistent with that described by Weaver et al. </w:t>
      </w:r>
      <w:r w:rsidR="003441F5">
        <w:fldChar w:fldCharType="begin"/>
      </w:r>
      <w:r w:rsidR="0049019A">
        <w:instrText xml:space="preserve"> ADDIN ZOTERO_ITEM CSL_CITATION {"citationID":"CMmz0q21","properties":{"formattedCitation":"(2009)","plainCitation":"(2009)","noteIndex":0},"citationItems":[{"id":194,"uris":["http://zotero.org/users/14577776/items/IIDH8CCU"],"itemData":{"id":194,"type":"article-journal","abstract":"The wheat stem sawfly, Cephus cinctus Norton, causes severe losses in wheat grown in the northern Great Plains. Much of the affected area is planted in monoculture with wheat, Triticum aestivum L., grown in large fields alternating yearly between crop and no-till fallow. The crop and fallow fields are adjacent. This cropping landscape creates pronounced edge effects of sawfly infestations and may be amenable to trap cropping using existing agricultural practices. The behavioral preference for two wheat varieties was assessed in the context of developing trap crops for this insect. In field nurseries, stem lodging assessments indicated that the cultivar 'Conan' was infrequently damaged, whereas 'Reeder' was often heavily damaged. In laboratory choice and no-choice tests, 'Reeder' was significantly preferred by ovipositing wheat stem sawfly females. These two cultivars did not differ significantly in height or developmental stage, factors known to impact sawfly preference. Although Conan received fewer eggs than Reeder in no-choice tests, oviposition was further reduced in choice tests, indicating that females clearly preferred Reeder. In field trials where the overall dimensions of the spatial structure in choice tests was varied, females always selected Reeder over Conan in alternating block, row, and interseeded planting scenarios. Reeder releases greater amounts of the attractive compound, (Z)-3-hexenyl acetate than Conan but is similar to Conan for three other known, behaviorally active volatile compounds. The results are discussed in terms of cultivar selection for large scale trap crop experiments for the wheat stem sawfly. © 2009 Entomological Society of America.","citation-key":"Weaver2009","container-title":"Journal of Economic Entomology","DOI":"10.1603/029.102.0320","ISSN":"00220493","issue":"3","page":"1009-1017","PMID":"19610414","publisher":"Oxford Academic","title":"Cultivar preferences of ovipositing wheat stem sawflies as influenced by the amount of volatile attractant","URL":"https://academic.oup.com/jee/article/102/3/1009/2199164","volume":"102","author":[{"family":"Weaver","given":"David K."},{"family":"Buteler","given":"Micaela"},{"family":"Hofland","given":"Megan L."},{"family":"Runyon","given":"Justin B."},{"family":"Nansen","given":"Christian"},{"family":"Talbert","given":"Luther E."},{"family":"Lamb","given":"Peggy"},{"family":"Carlson","given":"Gregg R."}],"accessed":{"date-parts":[["2021",6,9]]},"issued":{"date-parts":[["2009",6,1]]}},"suppress-author":true}],"schema":"https://github.com/citation-style-language/schema/raw/master/csl-citation.json"} </w:instrText>
      </w:r>
      <w:r w:rsidR="003441F5">
        <w:fldChar w:fldCharType="separate"/>
      </w:r>
      <w:r w:rsidR="001B6263">
        <w:rPr>
          <w:noProof/>
        </w:rPr>
        <w:t>(2009)</w:t>
      </w:r>
      <w:r w:rsidR="003441F5">
        <w:fldChar w:fldCharType="end"/>
      </w:r>
      <w:r w:rsidR="001B6263">
        <w:t xml:space="preserve"> </w:t>
      </w:r>
      <w:r w:rsidR="00040F6C">
        <w:t xml:space="preserve">and Strand et al. </w:t>
      </w:r>
      <w:r w:rsidR="001B6263">
        <w:fldChar w:fldCharType="begin"/>
      </w:r>
      <w:r w:rsidR="0049019A">
        <w:instrText xml:space="preserve"> ADDIN ZOTERO_ITEM CSL_CITATION {"citationID":"nMIMmjFr","properties":{"formattedCitation":"(2025)","plainCitation":"(2025)","noteIndex":0},"citationItems":[{"id":1311,"uris":["http://zotero.org/users/14577776/items/CVYBN49E"],"itemData":{"id":1311,"type":"article-journal","abstract":"Abstract               The wheat stem sawfly, Cephus cinctus Norton, is a major pest of cultivated wheat (Triticum aestivum L.) and other cereals in North America. The native congeneric parasitoids Bracon cephi (Gahan) and B. lissogaster Muesebeck are important biocontrol agents and play a crucial role in managing wheat stem sawfly outbreaks and damage. Smooth brome grass (Bromus inermis Leyss) has been found to be an effective wheat stem sawfly sink and parasitoid source when grown in areas neighboring wheat fields in Montana. To better understand the ecology of the system, we investigated both the wheat stem sawfly-induced volatile organic compounds produced by smooth brome and winter wheat, and the electrophysiological and behavioral response of B. cephi and B. lissogaster to the collected volatiles via coupled electroantennography and gas chromatography-flame ionization detection. Volatile concentration analysis indicated significantly increased production of (Z)-3-hexenyl acetate, 6-methyl-5-hepten-2-one, and (E)-2-hexenal in wheat stem sawfly-infested smooth brome, and elevated production of 6-methyl-5-hepten-2-one in infested smooth brome and winter wheat when compared to their uninfested counterparts. Both B. cephi and B. lissogaster exhibited significant electrophysiological and behavioral response to (Z)-3-hexenyl acetate, 6-methyl-5-hepten-2-one, and hexahydrofarnesyl acetone. Our results provide important evidence supporting habitat management recommendations that will enhance the effectiveness of biological control, contributing to more sustainable agricultural practices and the preservation of vital ecological functions.","container-title":"Journal of Insect Science","DOI":"10.1093/jisesa/ieaf016","ISSN":"1536-2442","issue":"2","language":"en","license":"https://creativecommons.org/licenses/by-nc-nd/4.0/","publisher":"Oxford University Press (OUP)","source":"Crossref","title":"Sensory and behavioral responses of braconid parasitoids to changes in volatile emissions induced by wheat stem sawfly (Hymenoptera: Cephidae) larval feeding in winter wheat and smooth brome","title-short":"Sensory and behavioral responses of braconid parasitoids to changes in volatile emissions induced by wheat stem sawfly (Hymenoptera","URL":"https://academic.oup.com/jinsectscience/article/doi/10.1093/jisesa/ieaf016/8078690","volume":"25","author":[{"family":"Strand","given":"Jackson R"},{"family":"Perez Moya","given":"Oscar G"},{"family":"Peterson","given":"Robert K D"},{"family":"Sterling","given":"Tracy M"},{"family":"Weaver","given":"David K"}],"editor":[{"family":"Del Pozo-Valdivia","given":"Alejandro"}],"accessed":{"date-parts":[["2025",7,9]]},"issued":{"date-parts":[["2025",3,14]]}},"suppress-author":true}],"schema":"https://github.com/citation-style-language/schema/raw/master/csl-citation.json"} </w:instrText>
      </w:r>
      <w:r w:rsidR="001B6263">
        <w:fldChar w:fldCharType="separate"/>
      </w:r>
      <w:r w:rsidR="00A85CFA">
        <w:rPr>
          <w:noProof/>
        </w:rPr>
        <w:t>(2025)</w:t>
      </w:r>
      <w:r w:rsidR="001B6263">
        <w:fldChar w:fldCharType="end"/>
      </w:r>
      <w:r w:rsidR="00F72B96" w:rsidRPr="00F72B96">
        <w:t>. Headspace volatiles were collected over a 6-hour period from 09</w:t>
      </w:r>
      <w:r w:rsidR="005D4942">
        <w:t>:</w:t>
      </w:r>
      <w:r w:rsidR="00F72B96" w:rsidRPr="00F72B96">
        <w:t>00 to 15</w:t>
      </w:r>
      <w:r w:rsidR="005D4942">
        <w:t>:</w:t>
      </w:r>
      <w:r w:rsidR="00F72B96" w:rsidRPr="00F72B96">
        <w:t xml:space="preserve">00. </w:t>
      </w:r>
      <w:r w:rsidR="00862363">
        <w:t xml:space="preserve">Floral and green leaf volatiles were collected in April during peak vegetative and flowering stages, while senesced leaf volatiles were collected in August after plants </w:t>
      </w:r>
      <w:r w:rsidR="00D56131">
        <w:t>had dried down</w:t>
      </w:r>
      <w:r w:rsidR="002C2805">
        <w:t xml:space="preserve"> to test whether stress conditions altered volatile </w:t>
      </w:r>
      <w:r w:rsidR="007D161D">
        <w:t>output between E+ and E- plants</w:t>
      </w:r>
      <w:r w:rsidR="00D56131">
        <w:t xml:space="preserve">. </w:t>
      </w:r>
      <w:r w:rsidR="00131270">
        <w:t>Senesced leaf collections were included in the PERMANOVA as a third level of the tissue type factor, allowing direct comparison of volatile profiles across phenological stages within the greenhouse exper</w:t>
      </w:r>
      <w:r w:rsidR="005508CA">
        <w:t>i</w:t>
      </w:r>
      <w:r w:rsidR="00131270">
        <w:t>ment.</w:t>
      </w:r>
      <w:r w:rsidR="00131270">
        <w:t xml:space="preserve"> </w:t>
      </w:r>
      <w:r w:rsidR="00F72B96" w:rsidRPr="00F72B96">
        <w:t>Fo</w:t>
      </w:r>
      <w:r w:rsidR="005508CA">
        <w:t>r</w:t>
      </w:r>
      <w:r w:rsidR="00F72B96" w:rsidRPr="00F72B96">
        <w:t xml:space="preserve"> each trial, 12 individual plants were sampled simultaneously.</w:t>
      </w:r>
      <w:r w:rsidR="00454724">
        <w:t xml:space="preserve"> To control fine-scale environmental heterogeneity, plants were sampled in paired design: each “pair” consisted of two neighboring individuals, one infected with the endophyte </w:t>
      </w:r>
      <w:r w:rsidR="00250769">
        <w:t xml:space="preserve">(E+) and one that had the endophyte previously mechanically removed (E-). This pairing ensured that both plants </w:t>
      </w:r>
      <w:r w:rsidR="00250769">
        <w:lastRenderedPageBreak/>
        <w:t xml:space="preserve">experienced nearly identical soil, moisture, and light conditions, allowing differences in volatile profiles to be attributed more confidently to endophyte status rather than microsite variation. </w:t>
      </w:r>
    </w:p>
    <w:p w14:paraId="62463887" w14:textId="5A2C2D03" w:rsidR="008A0E24" w:rsidRDefault="008A0E24" w:rsidP="00FE0395">
      <w:pPr>
        <w:ind w:firstLine="720"/>
      </w:pPr>
      <w:r w:rsidRPr="008A0E24">
        <w:t xml:space="preserve">Volatiles were captured using 80-cm long </w:t>
      </w:r>
      <w:r w:rsidR="00615180">
        <w:t>x</w:t>
      </w:r>
      <w:r w:rsidRPr="008A0E24">
        <w:t xml:space="preserve"> 4-cm diameter glass volatile collection chambers</w:t>
      </w:r>
      <w:r w:rsidR="004C2694">
        <w:t xml:space="preserve">, </w:t>
      </w:r>
      <w:r w:rsidRPr="008A0E24">
        <w:t xml:space="preserve">each fitted with a threaded 10-cm diameter top port. An 8-port glass manifold adapter was secured to the top of each chamber. Two of the manifold’s ports held glass traps (6.35 mm </w:t>
      </w:r>
      <w:r w:rsidR="00615180">
        <w:t>x</w:t>
      </w:r>
      <w:r w:rsidRPr="008A0E24">
        <w:t xml:space="preserve"> 76 mm; Analytical Research Systems, Gainesville, FL), each packed with 30 mg of Super-Q adsorbent (Alltech Associates, Deerfield, IL), while the remaining ports were sealed to prevent outside air entry and pressure loss. One trap was used to </w:t>
      </w:r>
      <w:r w:rsidR="006F3BF4">
        <w:t>collect</w:t>
      </w:r>
      <w:r w:rsidRPr="008A0E24">
        <w:t xml:space="preserve"> background volatiles for 10 minutes during system equilibration, while the second collected plant-emitted volatiles during the subsequent sampling period.</w:t>
      </w:r>
    </w:p>
    <w:p w14:paraId="31E4DD08" w14:textId="7D690BA8" w:rsidR="006F3BF4" w:rsidRDefault="006F3BF4" w:rsidP="00FE0395">
      <w:pPr>
        <w:ind w:firstLine="720"/>
      </w:pPr>
      <w:r w:rsidRPr="006F3BF4">
        <w:t>Clean, humidified, and charcoal-filtered air was delivered to each chamber via Teflon tubing at a flow rate of 1 L/min using a diaphragm air pump. At the outlet, a vacuum pump was connected to the traps via Teflon tubing to maintain airflow and pressure. The base of each plant stem was sealed using a Teflon guillotine clamp, with a small piece of cotton wrapped around the stem to ensure an airtight seal and minimize ambient or soil-derived contamination.</w:t>
      </w:r>
    </w:p>
    <w:p w14:paraId="54728CC8" w14:textId="5E1A1E31" w:rsidR="005D4942" w:rsidRDefault="0003558E" w:rsidP="005D4942">
      <w:pPr>
        <w:pStyle w:val="Heading3"/>
      </w:pPr>
      <w:r w:rsidRPr="00C442E8">
        <w:t>VOC</w:t>
      </w:r>
      <w:r w:rsidR="004C2694" w:rsidRPr="00C442E8">
        <w:t xml:space="preserve"> Elution and Analysis</w:t>
      </w:r>
    </w:p>
    <w:p w14:paraId="131F5A85" w14:textId="6B4BC286" w:rsidR="00C3439F" w:rsidRPr="00C442E8" w:rsidRDefault="00C3439F" w:rsidP="00C442E8">
      <w:pPr>
        <w:ind w:firstLine="720"/>
        <w:rPr>
          <w:i/>
          <w:iCs/>
          <w:u w:val="single"/>
        </w:rPr>
      </w:pPr>
      <w:r w:rsidRPr="00C442E8">
        <w:t>Following</w:t>
      </w:r>
      <w:r w:rsidRPr="00C3439F">
        <w:t xml:space="preserve"> </w:t>
      </w:r>
      <w:r w:rsidR="00BF7941">
        <w:t>field and greenhouse collections</w:t>
      </w:r>
      <w:r w:rsidRPr="00C3439F">
        <w:t>, VOCs were eluted from the traps with 200 µl of dichloromethane. Elution was performed slowly, with nitrogen gas used to gently push the solvent through the trap and into a glass insert inside a 1.5-ml crimp-sealed vial. An internal standard of 10 µl nonyl acetate was added to each sample to facilitate compound quantification.</w:t>
      </w:r>
    </w:p>
    <w:p w14:paraId="60C960D3" w14:textId="69B61945" w:rsidR="00E03E56" w:rsidRDefault="00E03E56" w:rsidP="00FE0395">
      <w:pPr>
        <w:ind w:firstLine="720"/>
      </w:pPr>
      <w:r w:rsidRPr="00E03E56">
        <w:t xml:space="preserve">Samples were analyzed using gas chromatography-mass spectrometry (GC-MS). Chromatographic separation was performed on an HP-5MS column (30 m </w:t>
      </w:r>
      <w:r w:rsidR="00615180">
        <w:t>x</w:t>
      </w:r>
      <w:r w:rsidRPr="00E03E56">
        <w:t xml:space="preserve"> 0.25 mm, 0.25 µm film; J&amp;W Scientific, Folsom, CA) installed in an Agilent 6890 GC coupled to an Agilent 5973 </w:t>
      </w:r>
      <w:r w:rsidRPr="00E03E56">
        <w:lastRenderedPageBreak/>
        <w:t xml:space="preserve">mass spectrometer (Agilent Technologies, Santa Clara, CA). Sample injection was automated using pulsed splitless mode at an inlet temperature of 250 °C and an initial pressure of 82.7 kPa. The oven temperature was programmed to hold at 50 °C for 4 minutes, increase by 5 °C per minute to 160 °C, then ramp at 25 °C per minute to a final temperature of 280 °C. The transfer line temperature was set to 300 °C. </w:t>
      </w:r>
      <w:r w:rsidR="005623A4">
        <w:t>Helium</w:t>
      </w:r>
      <w:r w:rsidRPr="00E03E56">
        <w:t xml:space="preserve"> served as the carrier gas with a constant flow rate of 1.2 ml/min. The mass spectrometer was operated in SCAN mode from 50 to 300 m/z. Compound identification was achieved through comparison of retention times and mass spectra with entries in the NIST spectral library. Data acquisition and peak integration were conducted using MSD </w:t>
      </w:r>
      <w:proofErr w:type="spellStart"/>
      <w:r w:rsidRPr="00E03E56">
        <w:t>ChemStation</w:t>
      </w:r>
      <w:proofErr w:type="spellEnd"/>
      <w:r w:rsidRPr="00E03E56">
        <w:t xml:space="preserve"> software (Agilent Technologies).</w:t>
      </w:r>
    </w:p>
    <w:p w14:paraId="07862B3A" w14:textId="2B2FA33A" w:rsidR="00E70132" w:rsidRDefault="00E70132" w:rsidP="00FE0395">
      <w:pPr>
        <w:ind w:firstLine="720"/>
      </w:pPr>
      <w:r w:rsidRPr="00E70132">
        <w:t xml:space="preserve">Because plastic oven bags were used for field headspace chambers, we implemented explicit artifact screening and cross‑validation steps. Prior to analysis, all compounds present in bag‑only blank collections were flagged and compared against sample peaks by retention time and full‑scan mass spectra. </w:t>
      </w:r>
      <w:r w:rsidR="00131B4A" w:rsidRPr="00131B4A">
        <w:t>Any compound showing even partial overlap with bag‑derived spectra or plasticizer signatures was conservatively excluded from biological analyses.</w:t>
      </w:r>
      <w:r w:rsidR="00131B4A">
        <w:t xml:space="preserve"> </w:t>
      </w:r>
      <w:r w:rsidRPr="00E70132">
        <w:t xml:space="preserve">To verify that biologically relevant compounds retained for analysis were not artefactual, we cross‑validated the field detections against greenhouse glass‑chamber collections: </w:t>
      </w:r>
      <w:r w:rsidR="00F779BC" w:rsidRPr="00F779BC">
        <w:t xml:space="preserve">Each of the seven core compounds retained in field analyses </w:t>
      </w:r>
      <w:r w:rsidR="00131B4A">
        <w:t xml:space="preserve">was independently confirmed </w:t>
      </w:r>
      <w:r w:rsidR="00F779BC" w:rsidRPr="00F779BC">
        <w:t>in greenhouse headspace samples collected with inert glass chambers and charcoal‑filtered inlet air, confirming their biological origin.</w:t>
      </w:r>
      <w:r w:rsidRPr="00E70132">
        <w:t xml:space="preserve"> For low‑abundance or chemically labile peaks, </w:t>
      </w:r>
      <w:r w:rsidR="00E15B44">
        <w:t xml:space="preserve">inclusion required three independent </w:t>
      </w:r>
      <w:r w:rsidR="009F70F6">
        <w:t>criteria</w:t>
      </w:r>
      <w:r w:rsidR="00E15B44">
        <w:t xml:space="preserve">: </w:t>
      </w:r>
      <w:r w:rsidR="009F70F6">
        <w:t>(</w:t>
      </w:r>
      <w:proofErr w:type="spellStart"/>
      <w:r w:rsidR="009F70F6">
        <w:t>i</w:t>
      </w:r>
      <w:proofErr w:type="spellEnd"/>
      <w:r w:rsidR="009F70F6">
        <w:t xml:space="preserve">) </w:t>
      </w:r>
      <w:r w:rsidRPr="00E70132">
        <w:t>NIST spectral match &gt; 85%, (</w:t>
      </w:r>
      <w:r w:rsidR="009F70F6">
        <w:t>ii</w:t>
      </w:r>
      <w:r w:rsidRPr="00E70132">
        <w:t>) consistent retention index within ± 2% of greenhouse standard runs, and (</w:t>
      </w:r>
      <w:r w:rsidR="009F70F6">
        <w:t>iii</w:t>
      </w:r>
      <w:r w:rsidRPr="00E70132">
        <w:t xml:space="preserve">) presence in at least two independent biological replicates. </w:t>
      </w:r>
      <w:r w:rsidR="00760F84" w:rsidRPr="00760F84">
        <w:t>Together, these steps provide robust assurance that all compounds reported represent authentic plant emissions, not sampling artifacts.</w:t>
      </w:r>
    </w:p>
    <w:p w14:paraId="6C90E74E" w14:textId="77777777" w:rsidR="00B12EBB" w:rsidRDefault="00B12EBB" w:rsidP="000D773A"/>
    <w:p w14:paraId="614F8DFA" w14:textId="76B28BCE" w:rsidR="0013052E" w:rsidRDefault="0013052E" w:rsidP="0013052E">
      <w:pPr>
        <w:pStyle w:val="Heading2"/>
      </w:pPr>
      <w:r w:rsidRPr="00E026F0">
        <w:t xml:space="preserve">Pollinator Visits and Nectar </w:t>
      </w:r>
      <w:r w:rsidR="00BA60CD" w:rsidRPr="00E026F0">
        <w:t>Analysis</w:t>
      </w:r>
    </w:p>
    <w:p w14:paraId="44068803" w14:textId="2E2E8E28" w:rsidR="0013052E" w:rsidRDefault="0013052E" w:rsidP="00F25193">
      <w:r>
        <w:tab/>
        <w:t xml:space="preserve">During peak bloom in June 2023 and 2024, pollinator activity was recorded on clear mornings between 09:00 and 11:00. Each observation block lasted 10 minutes, and floral visits, defined as any contact between an insect and reproductive structures, were tallied, yielding a </w:t>
      </w:r>
      <w:r w:rsidRPr="009F345B">
        <w:t xml:space="preserve">total of </w:t>
      </w:r>
      <w:r w:rsidR="541B638C" w:rsidRPr="009F345B">
        <w:t>17.5</w:t>
      </w:r>
      <w:r w:rsidRPr="009F345B">
        <w:t xml:space="preserve"> h in 2023 and </w:t>
      </w:r>
      <w:r w:rsidR="40E92200" w:rsidRPr="009F345B">
        <w:t>16.2</w:t>
      </w:r>
      <w:r w:rsidRPr="009F345B">
        <w:t xml:space="preserve"> h in 2024</w:t>
      </w:r>
      <w:r>
        <w:t>. Nectar was sampled between 08:00 and 10:00 using calibrated microcapillary tubes; volumes (</w:t>
      </w:r>
      <w:r w:rsidRPr="00CA0A3C">
        <w:t>in µL per flower</w:t>
      </w:r>
      <w:r>
        <w:t xml:space="preserve">) were measured immediately, and sucrose concentration (% w/v) was determined on-site with a handheld refractometer (Bellingham &amp; Stanley, Xylem Inc., Washington, DC, USA). </w:t>
      </w:r>
      <w:r w:rsidR="00F25193">
        <w:t>Volatile collections were conducted in 2022 and 2023; pollinator observations extended through 2024 to increase temporal replication of visitation data and test whether the modest 2023 endophyte-visit association was repeatable across years.</w:t>
      </w:r>
    </w:p>
    <w:p w14:paraId="499CACE9" w14:textId="77777777" w:rsidR="0013052E" w:rsidRDefault="0013052E" w:rsidP="0013052E"/>
    <w:p w14:paraId="1AA24DF9" w14:textId="77777777" w:rsidR="0013052E" w:rsidRDefault="0013052E" w:rsidP="0013052E">
      <w:pPr>
        <w:pStyle w:val="Heading2"/>
      </w:pPr>
      <w:r w:rsidRPr="0032353D">
        <w:t>Pollinator Exclusion to Test Outcrossing</w:t>
      </w:r>
    </w:p>
    <w:p w14:paraId="626A29C5" w14:textId="7BF29DA8" w:rsidR="004E6F9C" w:rsidRDefault="00095869" w:rsidP="00095869">
      <w:pPr>
        <w:ind w:firstLine="720"/>
      </w:pPr>
      <w:r w:rsidRPr="00095869">
        <w:t>To assess obligate outcrossing, we selected 20 pairs of E+ and E</w:t>
      </w:r>
      <w:r w:rsidR="00A37828">
        <w:t>-</w:t>
      </w:r>
      <w:r w:rsidRPr="00095869">
        <w:t xml:space="preserve"> plants in June 2023 and enclosed their pre‑flowering scapes in bridal‑veil bags for one month to exclude insect visitors. As a control, another 20 pairs of E+ and E</w:t>
      </w:r>
      <w:r w:rsidR="00615180">
        <w:t>-</w:t>
      </w:r>
      <w:r w:rsidRPr="00095869">
        <w:t xml:space="preserve"> plants were randomly selected in August 2023; their scapes were bagged only after flowering, ensuring seed pods were retained until dehiscence. Following pod maturation, all seeds were harvested and total seed set per scape was counted to determine whether pollinator visitation was required for fertilization.</w:t>
      </w:r>
    </w:p>
    <w:p w14:paraId="3E688578" w14:textId="77777777" w:rsidR="00095869" w:rsidRDefault="00095869" w:rsidP="00095869">
      <w:pPr>
        <w:ind w:firstLine="720"/>
      </w:pPr>
    </w:p>
    <w:p w14:paraId="111478A3" w14:textId="0932CDB3" w:rsidR="00AF7809" w:rsidRDefault="00AF7809" w:rsidP="00AF7809">
      <w:pPr>
        <w:pStyle w:val="Heading2"/>
      </w:pPr>
      <w:r w:rsidRPr="0032353D">
        <w:rPr>
          <w:rFonts w:eastAsiaTheme="minorHAnsi"/>
        </w:rPr>
        <w:t xml:space="preserve">Swainsonine </w:t>
      </w:r>
      <w:r w:rsidR="00F32131">
        <w:rPr>
          <w:rFonts w:eastAsiaTheme="minorHAnsi"/>
        </w:rPr>
        <w:t>Content</w:t>
      </w:r>
    </w:p>
    <w:p w14:paraId="5964B817" w14:textId="1C709FE7" w:rsidR="00AF7809" w:rsidRDefault="00AF7809" w:rsidP="00AF7809">
      <w:pPr>
        <w:ind w:firstLine="720"/>
      </w:pPr>
      <w:r>
        <w:lastRenderedPageBreak/>
        <w:t xml:space="preserve">Swainsonine concentrations in leaves and dissected floral organs were quantified by extracting 25-50 mg dried, ground tissue in 2% acetic acid for 18 h, followed by LC-MS analysis </w:t>
      </w:r>
      <w:r>
        <w:fldChar w:fldCharType="begin"/>
      </w:r>
      <w:r>
        <w:instrText xml:space="preserve"> ADDIN ZOTERO_ITEM CSL_CITATION {"citationID":"tZyPnftR","properties":{"formattedCitation":"(Gardner et al. 2001)","plainCitation":"(Gardner et al. 2001)","noteIndex":0},"citationItems":[{"id":1296,"uris":["http://zotero.org/users/14577776/items/TA5J828J"],"itemData":{"id":1296,"type":"article-journal","container-title":"Journal of Agricultural and Food Chemistry","DOI":"10.1021/jf010596p","ISSN":"0021-8561, 1520-5118","issue":"10","journalAbbreviation":"J. Agric. Food Chem.","language":"en","page":"4573-4580","source":"DOI.org (Crossref)","title":"Analysis of Swainsonine: Extraction Methods, Detection, and Measurement in Populations of Locoweeds (&lt;i&gt;Oxytropis&lt;/i&gt; spp.)","title-short":"Analysis of Swainsonine","URL":"https://pubs.acs.org/doi/10.1021/jf010596p","volume":"49","author":[{"family":"Gardner","given":"Dale R."},{"family":"Molyneux","given":"Russell J."},{"family":"Ralphs","given":"Michael H."}],"accessed":{"date-parts":[["2025",6,19]]},"issued":{"date-parts":[["2001",10,1]]}}}],"schema":"https://github.com/citation-style-language/schema/raw/master/csl-citation.json"} </w:instrText>
      </w:r>
      <w:r>
        <w:fldChar w:fldCharType="separate"/>
      </w:r>
      <w:r>
        <w:rPr>
          <w:noProof/>
        </w:rPr>
        <w:t>(Gardner et al. 2001)</w:t>
      </w:r>
      <w:r>
        <w:fldChar w:fldCharType="end"/>
      </w:r>
      <w:r>
        <w:t xml:space="preserve"> at the USDA-ARS facility in Logan, UT. Detection limits were 0.001% dry mass, and an internal standard </w:t>
      </w:r>
      <w:r w:rsidR="00CD2623">
        <w:t>ensured</w:t>
      </w:r>
      <w:r>
        <w:t xml:space="preserve"> quantitative accuracy. </w:t>
      </w:r>
      <w:r w:rsidR="00475AE7">
        <w:t>During peak flowering, eight E+ plants were randomly selected</w:t>
      </w:r>
      <w:r w:rsidR="00FF1B4E">
        <w:t xml:space="preserve">, and </w:t>
      </w:r>
      <w:r w:rsidR="00475AE7">
        <w:t>20 scapes from each were dissected into calyces, petals, pistils, and pollen.</w:t>
      </w:r>
      <w:r w:rsidRPr="6EDED1DB">
        <w:t xml:space="preserve"> Nectar was collected as </w:t>
      </w:r>
      <w:r w:rsidR="007F1E90">
        <w:t>a pooled</w:t>
      </w:r>
      <w:r w:rsidRPr="6EDED1DB">
        <w:t xml:space="preserve"> sample </w:t>
      </w:r>
      <w:r w:rsidR="00324BE0">
        <w:t xml:space="preserve">from </w:t>
      </w:r>
      <w:r w:rsidR="007F1E90">
        <w:t xml:space="preserve">approximately </w:t>
      </w:r>
      <w:r w:rsidR="00324BE0">
        <w:t xml:space="preserve">40 </w:t>
      </w:r>
      <w:r w:rsidRPr="6EDED1DB">
        <w:t xml:space="preserve">E+ plants (40 </w:t>
      </w:r>
      <w:r w:rsidR="009F345B">
        <w:rPr>
          <w:rFonts w:ascii="Symbol" w:eastAsia="Symbol" w:hAnsi="Symbol" w:cs="Symbol"/>
        </w:rPr>
        <w:t>m</w:t>
      </w:r>
      <w:r w:rsidRPr="6EDED1DB">
        <w:t>L</w:t>
      </w:r>
      <w:r w:rsidR="007F1E90">
        <w:t xml:space="preserve"> total</w:t>
      </w:r>
      <w:r w:rsidRPr="6EDED1DB">
        <w:t xml:space="preserve">) and analyzed for </w:t>
      </w:r>
      <w:r w:rsidR="00324BE0">
        <w:t>swainsonine</w:t>
      </w:r>
      <w:r w:rsidR="007F1E90">
        <w:t xml:space="preserve"> content</w:t>
      </w:r>
      <w:r w:rsidRPr="6EDED1DB">
        <w:t>.</w:t>
      </w:r>
    </w:p>
    <w:p w14:paraId="3EF449B7" w14:textId="77777777" w:rsidR="0013052E" w:rsidRDefault="0013052E" w:rsidP="000D773A"/>
    <w:p w14:paraId="244AD19D" w14:textId="4DC7EF1E" w:rsidR="009E5B64" w:rsidRPr="006925AE" w:rsidRDefault="00C5220F" w:rsidP="00BB48F2">
      <w:pPr>
        <w:pStyle w:val="Heading2"/>
      </w:pPr>
      <w:r w:rsidRPr="6EDED1DB">
        <w:t>Data Analysis</w:t>
      </w:r>
    </w:p>
    <w:p w14:paraId="0107BFE3" w14:textId="000DB0E4" w:rsidR="00FA699A" w:rsidRDefault="7A43BAE8" w:rsidP="00FE0395">
      <w:pPr>
        <w:ind w:firstLine="720"/>
      </w:pPr>
      <w:r w:rsidRPr="6EDED1DB">
        <w:t xml:space="preserve">We tested the effect of endophyte on the number of flowers probed per plant by pollinators, nectar quality (% sucrose), and nectar volume using separate linear mixed effects models, accounting for year, seasonality, and time of day. </w:t>
      </w:r>
    </w:p>
    <w:p w14:paraId="336B876F" w14:textId="77777777" w:rsidR="0051050C" w:rsidRDefault="7C8A66CA" w:rsidP="00D85621">
      <w:pPr>
        <w:ind w:firstLine="720"/>
      </w:pPr>
      <w:r w:rsidRPr="6EDED1DB">
        <w:t xml:space="preserve">Volatile compound concentrations </w:t>
      </w:r>
      <w:r w:rsidR="48CB1C58">
        <w:t>(</w:t>
      </w:r>
      <w:r w:rsidRPr="6EDED1DB">
        <w:t>ng g⁻¹ h⁻¹</w:t>
      </w:r>
      <w:r w:rsidR="48CB1C58">
        <w:t>) were</w:t>
      </w:r>
      <w:r w:rsidRPr="6EDED1DB">
        <w:t xml:space="preserve"> standardized by plant biomass. Raw (untransformed) </w:t>
      </w:r>
      <w:r w:rsidR="48CB1C58">
        <w:t>values</w:t>
      </w:r>
      <w:r w:rsidRPr="6EDED1DB">
        <w:t xml:space="preserve"> were used for concentration estimates</w:t>
      </w:r>
      <w:r w:rsidR="48CB1C58">
        <w:t xml:space="preserve">, while compositional </w:t>
      </w:r>
      <w:r w:rsidR="5D281ED4">
        <w:t xml:space="preserve">data were transformed </w:t>
      </w:r>
      <w:r w:rsidR="5DB65685">
        <w:t xml:space="preserve">using </w:t>
      </w:r>
      <w:r w:rsidRPr="6EDED1DB">
        <w:t>a centered log-ratio (</w:t>
      </w:r>
      <w:r w:rsidR="3C30BD02" w:rsidRPr="6EDED1DB">
        <w:t>CLR</w:t>
      </w:r>
      <w:r w:rsidR="7A974000">
        <w:t>;</w:t>
      </w:r>
      <w:r w:rsidR="7A974000" w:rsidRPr="00DE4825">
        <w:t xml:space="preserve"> </w:t>
      </w:r>
      <w:r w:rsidR="00800C94">
        <w:t xml:space="preserve">R package </w:t>
      </w:r>
      <w:r w:rsidR="00800C94" w:rsidRPr="00800C94">
        <w:rPr>
          <w:i/>
          <w:iCs/>
        </w:rPr>
        <w:t>c</w:t>
      </w:r>
      <w:r w:rsidR="7A974000" w:rsidRPr="00800C94">
        <w:rPr>
          <w:i/>
          <w:iCs/>
        </w:rPr>
        <w:t>ompositions</w:t>
      </w:r>
      <w:r w:rsidR="7A974000" w:rsidRPr="6EDED1DB">
        <w:t xml:space="preserve"> v2.0-</w:t>
      </w:r>
      <w:r w:rsidR="005F6CE5">
        <w:t>9</w:t>
      </w:r>
      <w:r w:rsidRPr="6EDED1DB">
        <w:t xml:space="preserve">) transformation </w:t>
      </w:r>
      <w:r w:rsidR="00DE4825">
        <w:fldChar w:fldCharType="begin"/>
      </w:r>
      <w:r w:rsidR="0049019A">
        <w:instrText xml:space="preserve"> ADDIN ZOTERO_ITEM CSL_CITATION {"citationID":"Ta2wI0qJ","properties":{"formattedCitation":"(Br\\uc0\\u252{}ckner and Heethoff 2017)","plainCitation":"(Brückner and Heethoff 2017)","noteIndex":0},"citationItems":[{"id":469,"uris":["http://zotero.org/users/14577776/items/YUBEYTTM"],"itemData":{"id":469,"type":"article-journal","abstract":"Compositional data are commonly used in chemical ecology to describe the biological role of chemical compounds in communication, defense or other behavioral modifications. Statistical analyses of compositional data, however, are challenging due to several constraints (e.g., constant sum constraint). We use an ontogenetic series of defensive gland secretions from larvae, three nymphal stages and adults of the oribatid model species Archegozetes longisetosus as a typical chemo-ecological data set to prepare a practical guide for compositional data analyses in chemical ecology. We compare various common and less common statistical and ordination methods to depict small quantitative and/or qualitative differences in compositional datasets: principal component analysis (PCA), non-metric multidimensional scaling (NMDS), multivariate statistical tests (Anderson’s permutational multivariate analyses of variance = PERMANOVA; permutational analyses of multivariate dispersions = PERMDIPS), linear discriminant analysis (LDA), the data mining algorithm Random Forests, bipartite network analysis and dynamic range boxes (dynRB). We summarize which methods are suitable for different research questions and how data needs to be structured and pre-processed. Network analyses and dynamic range boxes are promising tools for analyzing compositional data beyond the “classical” methods and provide additional information.","citation-key":"Bruckner2017","container-title":"Chemoecology","DOI":"10.1007/s00049-016-0227-8","ISSN":"09377409","issue":"1","page":"33-46","title":"A chemo-ecologists’ practical guide to compositional data analysis","volume":"27","author":[{"family":"Brückner","given":"Adrian"},{"family":"Heethoff","given":"Michael"}],"issued":{"date-parts":[["2017"]]}}}],"schema":"https://github.com/citation-style-language/schema/raw/master/csl-citation.json"} </w:instrText>
      </w:r>
      <w:r w:rsidR="00DE4825">
        <w:fldChar w:fldCharType="separate"/>
      </w:r>
      <w:r w:rsidR="7A974000" w:rsidRPr="00DE4825">
        <w:rPr>
          <w:kern w:val="0"/>
        </w:rPr>
        <w:t>(Brückner and Heethoff 2017)</w:t>
      </w:r>
      <w:r w:rsidR="00DE4825">
        <w:fldChar w:fldCharType="end"/>
      </w:r>
      <w:r w:rsidR="7A974000">
        <w:t>.</w:t>
      </w:r>
      <w:r w:rsidRPr="6EDED1DB">
        <w:t xml:space="preserve"> </w:t>
      </w:r>
      <w:r w:rsidR="00695E89">
        <w:t>Similar</w:t>
      </w:r>
      <w:r w:rsidR="00624D62">
        <w:t xml:space="preserve">ity percentage (SIMPER) analyses were conducted on raw (untransformed) data using Bray-Curtis dissimilarities, as CLR-transformed </w:t>
      </w:r>
      <w:r w:rsidR="00731FE1">
        <w:t xml:space="preserve">values can include negative components, violating the assumptions of the Bray-Curtis metric. </w:t>
      </w:r>
      <w:r w:rsidR="7A974000">
        <w:t xml:space="preserve">Known background compounds </w:t>
      </w:r>
      <w:r w:rsidR="2F68B1DB">
        <w:t xml:space="preserve">or analytical artifacts were removed prior to analysis. Multivariate differences in volatile profiles were assessed using permutational </w:t>
      </w:r>
      <w:r w:rsidR="0BFDF521">
        <w:t xml:space="preserve">multivariate analysis of variance (PERMANOVA) based on </w:t>
      </w:r>
      <w:r w:rsidR="00800C94">
        <w:t xml:space="preserve">Euclidean distances of </w:t>
      </w:r>
      <w:r w:rsidR="00280058">
        <w:t>CLR</w:t>
      </w:r>
      <w:r w:rsidR="00800C94">
        <w:t>-transformed data</w:t>
      </w:r>
      <w:r w:rsidR="0BFDF521">
        <w:t xml:space="preserve"> with 999 permutations</w:t>
      </w:r>
      <w:r w:rsidRPr="6EDED1DB">
        <w:t xml:space="preserve"> (</w:t>
      </w:r>
      <w:r w:rsidR="001D1AF4">
        <w:t xml:space="preserve">R package </w:t>
      </w:r>
      <w:r w:rsidR="001D1AF4">
        <w:rPr>
          <w:i/>
          <w:iCs/>
        </w:rPr>
        <w:t>vegan</w:t>
      </w:r>
      <w:r w:rsidR="0091107B">
        <w:t xml:space="preserve"> </w:t>
      </w:r>
      <w:r w:rsidRPr="0091107B">
        <w:t>v2</w:t>
      </w:r>
      <w:r w:rsidRPr="6EDED1DB">
        <w:t>.</w:t>
      </w:r>
      <w:r w:rsidR="00FB4926">
        <w:t>7-2</w:t>
      </w:r>
      <w:r w:rsidRPr="6EDED1DB">
        <w:t xml:space="preserve">; </w:t>
      </w:r>
      <w:r w:rsidR="00C818BB">
        <w:fldChar w:fldCharType="begin"/>
      </w:r>
      <w:r w:rsidR="0049019A">
        <w:instrText xml:space="preserve"> ADDIN ZOTERO_ITEM CSL_CITATION {"citationID":"pbLzECHl","properties":{"formattedCitation":"(Oksanen et al. 2011)","plainCitation":"(Oksanen et al. 2011)","dontUpdate":true,"noteIndex":0},"citationItems":[{"id":963,"uris":["http://zotero.org/users/14577776/items/LR88WGKV"],"itemData":{"id":963,"type":"software","abstract":"Ordination methods, diversity analysis and other functions for community and vegetation ecologists.","citation-key":"Vegan","title":"Vegan: Community Ecology Package","URL":"https://github.com/vegandevs/vegan","author":[{"family":"Oksanen","given":"J."},{"family":"Simpson","given":"L."},{"family":"Blanchet","given":"G."},{"family":"Guillaume","given":"F"},{"family":"Roeland","given":"K."}],"accessed":{"date-parts":[["2024",7,1]]},"issued":{"date-parts":[["2011",5,1]]}}}],"schema":"https://github.com/citation-style-language/schema/raw/master/csl-citation.json"} </w:instrText>
      </w:r>
      <w:r w:rsidR="00C818BB">
        <w:fldChar w:fldCharType="separate"/>
      </w:r>
      <w:r w:rsidR="7DBE82DA">
        <w:rPr>
          <w:noProof/>
        </w:rPr>
        <w:t>Oksanen et al. 2011)</w:t>
      </w:r>
      <w:r w:rsidR="00C818BB">
        <w:fldChar w:fldCharType="end"/>
      </w:r>
      <w:r w:rsidRPr="6EDED1DB">
        <w:t xml:space="preserve"> in R (</w:t>
      </w:r>
      <w:r w:rsidR="00E27380" w:rsidRPr="00E27380">
        <w:t>2026.01.0+392</w:t>
      </w:r>
      <w:r w:rsidRPr="6EDED1DB">
        <w:t>; R Core Team 2024).</w:t>
      </w:r>
      <w:r w:rsidR="005A43EF">
        <w:t xml:space="preserve"> </w:t>
      </w:r>
      <w:r w:rsidR="00201B93">
        <w:t xml:space="preserve">Models were fit using </w:t>
      </w:r>
      <w:r w:rsidR="00010B00">
        <w:t>marginal</w:t>
      </w:r>
      <w:r w:rsidR="00201B93">
        <w:t xml:space="preserve"> sums of squares (Type </w:t>
      </w:r>
      <w:r w:rsidR="00010B00">
        <w:t>III</w:t>
      </w:r>
      <w:r w:rsidR="00201B93">
        <w:t xml:space="preserve">), with terms added in the order </w:t>
      </w:r>
      <w:r w:rsidR="00201B93">
        <w:lastRenderedPageBreak/>
        <w:t>specified. Permutations were constrained within year to account for temporal structure.</w:t>
      </w:r>
      <w:r w:rsidR="00E85CA8">
        <w:t xml:space="preserve"> However, year was not included as a model term due to collinearity with our stratification variable.</w:t>
      </w:r>
      <w:r w:rsidR="00201B93">
        <w:t xml:space="preserve"> </w:t>
      </w:r>
      <w:r w:rsidR="00713C6A" w:rsidRPr="00713C6A">
        <w:t>Euclidean distance was chosen because the</w:t>
      </w:r>
      <w:r w:rsidR="00713C6A">
        <w:t xml:space="preserve"> CLR</w:t>
      </w:r>
      <w:r w:rsidR="00713C6A" w:rsidRPr="00713C6A">
        <w:t xml:space="preserve"> transformation converts compositional data to real space, making Euclidean distances appropriate and consistent for assessing multivariate differences. </w:t>
      </w:r>
      <w:r w:rsidR="005A43EF">
        <w:t>Fixed factors included collection type (leaf v</w:t>
      </w:r>
      <w:r w:rsidR="008716C7">
        <w:t>s.</w:t>
      </w:r>
      <w:r w:rsidR="005A43EF">
        <w:t xml:space="preserve"> flower, where applicable), and endophyte status (E+/E-), with </w:t>
      </w:r>
      <w:r w:rsidR="001D1AF4">
        <w:t xml:space="preserve">pair included as a stratified blocking factor. Homogeneity of multivariate dispersion among groups was verified using </w:t>
      </w:r>
      <w:proofErr w:type="spellStart"/>
      <w:r w:rsidR="001D1AF4">
        <w:t>betadisper</w:t>
      </w:r>
      <w:proofErr w:type="spellEnd"/>
      <w:r w:rsidR="001D1AF4">
        <w:t xml:space="preserve"> (R package </w:t>
      </w:r>
      <w:r w:rsidR="001D1AF4">
        <w:rPr>
          <w:i/>
          <w:iCs/>
        </w:rPr>
        <w:t xml:space="preserve">vegan </w:t>
      </w:r>
      <w:r w:rsidR="001D1AF4">
        <w:t>v2.</w:t>
      </w:r>
      <w:r w:rsidR="00FB4926">
        <w:t>7-2</w:t>
      </w:r>
      <w:r w:rsidR="001D1AF4">
        <w:t xml:space="preserve">) to confirm that PERMANOVA results reflected centroid differences rather than dispersion effects. </w:t>
      </w:r>
      <w:r w:rsidR="003C0699">
        <w:t xml:space="preserve">SIMPER analysis identified the seven core compounds </w:t>
      </w:r>
      <w:r w:rsidR="003C0699">
        <w:t xml:space="preserve">– </w:t>
      </w:r>
      <w:r w:rsidR="003C0699">
        <w:t xml:space="preserve"> (</w:t>
      </w:r>
      <w:r w:rsidR="003C0699">
        <w:rPr>
          <w:rStyle w:val="Emphasis"/>
        </w:rPr>
        <w:t>Z</w:t>
      </w:r>
      <w:r w:rsidR="003C0699">
        <w:t xml:space="preserve">)-3-hexenyl acetate, 6-methyl-5-hepten-2-one, decanal, methyl salicylate, nonanal, octanal, and β-ocimene </w:t>
      </w:r>
      <w:r w:rsidR="003C0699">
        <w:t xml:space="preserve">– </w:t>
      </w:r>
      <w:r w:rsidR="003C0699">
        <w:t xml:space="preserve"> as the primary contributors to among-group dissimilarity, yet none differentiated E+ from E- plants. Indicator value (</w:t>
      </w:r>
      <w:proofErr w:type="spellStart"/>
      <w:r w:rsidR="003C0699">
        <w:t>IndVal</w:t>
      </w:r>
      <w:proofErr w:type="spellEnd"/>
      <w:r w:rsidR="003C0699">
        <w:t>) analysis similarly found no compounds with significant fidelity to endophyte status in either greenhouse or field samples (all p &gt; 0.05 after permutation).</w:t>
      </w:r>
      <w:r w:rsidR="003C0699">
        <w:t xml:space="preserve"> </w:t>
      </w:r>
      <w:r w:rsidR="0069556C" w:rsidRPr="0069556C">
        <w:t>Prior to compositional analyses, putative background</w:t>
      </w:r>
      <w:r w:rsidR="008716C7">
        <w:t xml:space="preserve"> or artifact</w:t>
      </w:r>
      <w:r w:rsidR="0069556C" w:rsidRPr="0069556C">
        <w:t xml:space="preserve"> peaks identified in bag blanks were removed. For borderline low‑intensity peaks, we required co‑occurrence in greenhouse samples and concordant retention index and spectrum before inclusion in statistical analyses.</w:t>
      </w:r>
    </w:p>
    <w:p w14:paraId="3DED7880" w14:textId="00C82307" w:rsidR="00CE7B9D" w:rsidRPr="00D85621" w:rsidRDefault="0051050C" w:rsidP="00D85621">
      <w:pPr>
        <w:ind w:firstLine="720"/>
      </w:pPr>
      <w:r>
        <w:t xml:space="preserve">To characterize the sensitivity of our paired PERMANOVA design to detect endophyte-associated differences in VOC composition, we conducted a simulation-based power analysis in R. We generated 200 simulated datasets per effect size by injecting a synthetic compositional signal </w:t>
      </w:r>
      <w:r>
        <w:t>–</w:t>
      </w:r>
      <w:r>
        <w:t xml:space="preserve"> scaled as multiples of the empirical standard deviation across CLR-transformed taxa </w:t>
      </w:r>
      <w:r>
        <w:t>–</w:t>
      </w:r>
      <w:r>
        <w:t xml:space="preserve"> into endophyte-positive samples, while shuffling treatment labels within year to preserve temporal structure. Each simulated dataset was analyzed using the same PERMANOVA model applied to the observed data (Euclidean distance, permutations constrained within year, pair as </w:t>
      </w:r>
      <w:r>
        <w:lastRenderedPageBreak/>
        <w:t>blocking factor). Power was estimated as the proportion of 200 simulations yielding p &lt; 0.05 for the endophyte term across a range of effect sizes (0 to 2 SD units). The analysis revealed that the design achieves near-complete power (&gt;0.95) at effect sizes as small as 0.18 SD units, confirming high sensitivity to compositional differences attributable to endophyte status. The observed type I error rate at null effect (0.14) was modestly elevated above the nominal alpha of 0.05, likely reflecting residual pair-level compositional structure not fully randomized by within-year label permutation; power estimates should therefore be interpreted as slightly conservative upper bounds.</w:t>
      </w:r>
      <w:r w:rsidR="00CE7B9D">
        <w:br w:type="page"/>
      </w:r>
    </w:p>
    <w:p w14:paraId="410583B4" w14:textId="16A66D2E" w:rsidR="00CE7B9D" w:rsidRPr="002D27DA" w:rsidRDefault="00A9238D" w:rsidP="00A714BA">
      <w:pPr>
        <w:pStyle w:val="Heading1"/>
      </w:pPr>
      <w:r w:rsidRPr="007061BD">
        <w:lastRenderedPageBreak/>
        <w:t>RESULTS</w:t>
      </w:r>
      <w:r w:rsidRPr="6EDED1DB">
        <w:t xml:space="preserve"> </w:t>
      </w:r>
    </w:p>
    <w:p w14:paraId="04211528" w14:textId="77777777" w:rsidR="0013052E" w:rsidRDefault="0013052E" w:rsidP="0013052E">
      <w:pPr>
        <w:pStyle w:val="Heading2"/>
      </w:pPr>
      <w:r>
        <w:t>Volatile Organic Compound Profiles</w:t>
      </w:r>
    </w:p>
    <w:p w14:paraId="63CDFE94" w14:textId="77777777" w:rsidR="00AA608C" w:rsidRDefault="00AA608C" w:rsidP="00AA608C">
      <w:pPr>
        <w:pStyle w:val="Heading3"/>
      </w:pPr>
      <w:r>
        <w:t>Shared VOCs Across Environments</w:t>
      </w:r>
    </w:p>
    <w:p w14:paraId="70AC7277" w14:textId="20A08FFC" w:rsidR="00AA608C" w:rsidRDefault="00AA608C" w:rsidP="00AA608C">
      <w:r>
        <w:tab/>
        <w:t>Seven volatiles</w:t>
      </w:r>
      <w:r w:rsidR="000E5D26">
        <w:t>,</w:t>
      </w:r>
      <w:r>
        <w:t xml:space="preserve"> (</w:t>
      </w:r>
      <w:r>
        <w:rPr>
          <w:i/>
          <w:iCs/>
        </w:rPr>
        <w:t>Z</w:t>
      </w:r>
      <w:r>
        <w:t xml:space="preserve">)-3-hexenyl acetate, 6-methyl-5-hepten-2-one, decanal, methyl salicylate, nonanal, octanal, and </w:t>
      </w:r>
      <w:r w:rsidR="002F11D2">
        <w:t>β</w:t>
      </w:r>
      <w:r>
        <w:t>-ocimene</w:t>
      </w:r>
      <w:r w:rsidR="000E5D26">
        <w:t>,</w:t>
      </w:r>
      <w:r>
        <w:t xml:space="preserve"> were detected under both greenhouse and field conditions</w:t>
      </w:r>
      <w:r w:rsidR="00803E4D">
        <w:t xml:space="preserve">. </w:t>
      </w:r>
      <w:r>
        <w:t xml:space="preserve">In all cases, relative abundances of these compounds did not differ by endophyte status, underscoring that </w:t>
      </w:r>
      <w:r w:rsidR="00F63416">
        <w:t xml:space="preserve">factors associated with plant pair identity, tissue type, and year overshadow any detectable influence of </w:t>
      </w:r>
      <w:r w:rsidR="00F63416">
        <w:rPr>
          <w:i/>
          <w:iCs/>
        </w:rPr>
        <w:t>U. oxytropis</w:t>
      </w:r>
      <w:r w:rsidR="00F63416">
        <w:t xml:space="preserve"> on VOC emissions. </w:t>
      </w:r>
      <w:r>
        <w:t xml:space="preserve"> </w:t>
      </w:r>
    </w:p>
    <w:p w14:paraId="16A01F90" w14:textId="77777777" w:rsidR="00AA608C" w:rsidRPr="00AA608C" w:rsidRDefault="00AA608C" w:rsidP="00AA608C"/>
    <w:p w14:paraId="04355CE7" w14:textId="77777777" w:rsidR="0013052E" w:rsidRPr="002E448B" w:rsidRDefault="0013052E" w:rsidP="0013052E">
      <w:pPr>
        <w:pStyle w:val="Heading3"/>
      </w:pPr>
      <w:r>
        <w:t>Greenhouse-Grown Plants</w:t>
      </w:r>
    </w:p>
    <w:p w14:paraId="31CE7164" w14:textId="255A2E33" w:rsidR="007D73EC" w:rsidRDefault="00475671" w:rsidP="0013052E">
      <w:pPr>
        <w:pStyle w:val="Heading3"/>
        <w:rPr>
          <w:i w:val="0"/>
          <w:iCs w:val="0"/>
          <w:u w:val="none"/>
        </w:rPr>
      </w:pPr>
      <w:r w:rsidRPr="00475671">
        <w:rPr>
          <w:i w:val="0"/>
          <w:iCs w:val="0"/>
          <w:u w:val="none"/>
        </w:rPr>
        <w:t xml:space="preserve">GC‑MS identified </w:t>
      </w:r>
      <w:r w:rsidR="00187F0C">
        <w:rPr>
          <w:i w:val="0"/>
          <w:iCs w:val="0"/>
          <w:u w:val="none"/>
        </w:rPr>
        <w:t>29</w:t>
      </w:r>
      <w:r w:rsidRPr="00475671">
        <w:rPr>
          <w:i w:val="0"/>
          <w:iCs w:val="0"/>
          <w:u w:val="none"/>
        </w:rPr>
        <w:t xml:space="preserve"> VOCs across seven chemical classes (Supp. Table 1). </w:t>
      </w:r>
      <w:r w:rsidR="0036325E" w:rsidRPr="0036325E">
        <w:rPr>
          <w:i w:val="0"/>
          <w:iCs w:val="0"/>
          <w:u w:val="none"/>
        </w:rPr>
        <w:t>PERMANOVA revealed that plant pair identity (R² = 72.6%, F = 2.453, p = 0.003) influenced VOC composition, while endophyte presence explained only 0.3% of the variance.</w:t>
      </w:r>
      <w:r w:rsidRPr="00475671">
        <w:rPr>
          <w:i w:val="0"/>
          <w:iCs w:val="0"/>
          <w:u w:val="none"/>
        </w:rPr>
        <w:t xml:space="preserve"> </w:t>
      </w:r>
      <w:r w:rsidR="007D73EC" w:rsidRPr="007D73EC">
        <w:rPr>
          <w:i w:val="0"/>
          <w:iCs w:val="0"/>
          <w:u w:val="none"/>
        </w:rPr>
        <w:t>PCA captured 33.4% (PC1) and 10.7% (PC2) of the variance (Figure 1). PC1 was driven by dodecanal, methyl salicylate, and octanal, while PC2 reflected variation in nonanal, decanal, and 6-methyl-5-hepten-2-one.</w:t>
      </w:r>
    </w:p>
    <w:p w14:paraId="0071EE0B" w14:textId="00AAC183" w:rsidR="0013052E" w:rsidRPr="00707177" w:rsidRDefault="0013052E" w:rsidP="0013052E">
      <w:pPr>
        <w:pStyle w:val="Heading3"/>
      </w:pPr>
      <w:r w:rsidRPr="00707177">
        <w:t>Field-</w:t>
      </w:r>
      <w:r>
        <w:t>Grown</w:t>
      </w:r>
      <w:r w:rsidRPr="00707177">
        <w:t xml:space="preserve"> </w:t>
      </w:r>
      <w:r>
        <w:t>Plants</w:t>
      </w:r>
    </w:p>
    <w:p w14:paraId="2DC5C582" w14:textId="40ECC908" w:rsidR="0013052E" w:rsidRDefault="0013052E" w:rsidP="0013052E">
      <w:pPr>
        <w:ind w:firstLine="720"/>
      </w:pPr>
      <w:r>
        <w:t>In field samples, 42 VOCs were initially detected, with 10 compounds retained for analysis based on consistency and biological relevance (</w:t>
      </w:r>
      <w:r w:rsidR="00C80004">
        <w:t>Supp. Table 2</w:t>
      </w:r>
      <w:r>
        <w:t>).</w:t>
      </w:r>
      <w:r w:rsidR="00E463E7">
        <w:t xml:space="preserve"> Retention required explicit analytical criteria: NIST spectral match </w:t>
      </w:r>
      <w:r w:rsidR="00E463E7" w:rsidRPr="00EE17B0">
        <w:t>&gt;85</w:t>
      </w:r>
      <w:r w:rsidR="00467EC7">
        <w:t>%</w:t>
      </w:r>
      <w:r w:rsidR="00E463E7">
        <w:t xml:space="preserve">, consistent retention index within </w:t>
      </w:r>
      <w:r w:rsidR="00AD3D33" w:rsidRPr="00AD3D33">
        <w:t>±</w:t>
      </w:r>
      <w:r w:rsidR="00AD3D33">
        <w:t xml:space="preserve">2% </w:t>
      </w:r>
      <w:r w:rsidR="007C34AD">
        <w:t xml:space="preserve">of greenhouse standards, and presence in at least two independent replicates. Critically, the seven core compounds were cross-validated against greenhouse collections using inert glass chambers, confirming their biological origin </w:t>
      </w:r>
      <w:r w:rsidR="009D7621">
        <w:t xml:space="preserve">rather than </w:t>
      </w:r>
      <w:r w:rsidR="00272174">
        <w:t xml:space="preserve">being </w:t>
      </w:r>
      <w:r w:rsidR="009D7621">
        <w:t>oven-bag artifacts.</w:t>
      </w:r>
      <w:r>
        <w:t xml:space="preserve"> </w:t>
      </w:r>
      <w:r w:rsidR="00957B95" w:rsidRPr="00957B95">
        <w:t>PERMANOVA on CLR-</w:t>
      </w:r>
      <w:r w:rsidR="00957B95" w:rsidRPr="00957B95">
        <w:lastRenderedPageBreak/>
        <w:t>transformed volatile profiles revealed that plant pair identity (R² = 0.584, p = 0.001) was the dominant influence on VOC composition. Collection type (flowers vs. leaves vs. senesced leaves) explained minimal variance (R² = 0.004, p = 0.594), and endophyte status had a similarly negligible effect (R² = 0.009, p = 0.171). Year was not included as a model term because permutations were constrained within year to account for temporal structure, making year collinear with the stratification variable.</w:t>
      </w:r>
      <w:r w:rsidR="00C22279" w:rsidRPr="00C22279">
        <w:t xml:space="preserve"> Tests for homogeneity of multivariate dispersion indicated VOC variability</w:t>
      </w:r>
      <w:r w:rsidR="00747AC4">
        <w:t xml:space="preserve"> differed</w:t>
      </w:r>
      <w:r w:rsidR="00C22279" w:rsidRPr="00C22279">
        <w:t xml:space="preserve"> between years (overall mean distance to centroid: 2022 = 4.358, 2023 = 2.673; permutation p = 0.008). Tissue-specific analyses showed that flowers were more variable in 2022 (mean distance: 2022 = 3.786, 2023 = 1.912; p = 0.001), whereas leaves were more variable in 2023 (mean distance: 2022 = 1.829, 2023 = 4.568; p = 0.001). </w:t>
      </w:r>
      <w:r w:rsidR="002E5758">
        <w:t>PCA of the CLR-transformed VOCs captured 25.9% and 19.6% of the total variance on PC1 and PC2 (Figure 2)</w:t>
      </w:r>
      <w:r w:rsidR="00C22279" w:rsidRPr="00C22279">
        <w:t xml:space="preserve">, respectively, and overlaying standard deviation ellipses by year confirmed the patterns of within-group dispersion observed in the </w:t>
      </w:r>
      <w:proofErr w:type="spellStart"/>
      <w:r w:rsidR="00C22279" w:rsidRPr="00C22279">
        <w:t>betadisper</w:t>
      </w:r>
      <w:proofErr w:type="spellEnd"/>
      <w:r w:rsidR="00C22279" w:rsidRPr="00C22279">
        <w:t xml:space="preserve"> analyses.</w:t>
      </w:r>
      <w:r w:rsidR="00C22279">
        <w:t xml:space="preserve"> </w:t>
      </w:r>
    </w:p>
    <w:p w14:paraId="23D0BAB7" w14:textId="77777777" w:rsidR="0013052E" w:rsidRDefault="0013052E" w:rsidP="00AA608C"/>
    <w:p w14:paraId="723050CF" w14:textId="77777777" w:rsidR="00BE146F" w:rsidRDefault="00BE146F" w:rsidP="00BE146F">
      <w:pPr>
        <w:pStyle w:val="Heading2"/>
      </w:pPr>
      <w:bookmarkStart w:id="0" w:name="_Hlk210919028"/>
      <w:r>
        <w:t>Floral Swainsonine Content</w:t>
      </w:r>
    </w:p>
    <w:p w14:paraId="1652FDC2" w14:textId="4698ED69" w:rsidR="00BE146F" w:rsidRDefault="00BE146F" w:rsidP="00AA608C">
      <w:r>
        <w:tab/>
        <w:t>Swainsonine was detected in all dissected floral organs of E+ plants</w:t>
      </w:r>
      <w:r w:rsidR="006F3129">
        <w:t xml:space="preserve"> 10-fold less than leaves</w:t>
      </w:r>
      <w:r w:rsidR="000202CC">
        <w:t xml:space="preserve"> (Fig. </w:t>
      </w:r>
      <w:r w:rsidR="00181881">
        <w:t>4)</w:t>
      </w:r>
      <w:r>
        <w:t>. Concentrations were highest in calyces (0.</w:t>
      </w:r>
      <w:r w:rsidR="00D50324">
        <w:t>081</w:t>
      </w:r>
      <w:r>
        <w:t xml:space="preserve"> </w:t>
      </w:r>
      <w:r w:rsidRPr="004731D6">
        <w:t>±</w:t>
      </w:r>
      <w:r>
        <w:t xml:space="preserve"> 0.01</w:t>
      </w:r>
      <w:r w:rsidR="00D50324">
        <w:t>0</w:t>
      </w:r>
      <w:r>
        <w:t xml:space="preserve"> % dry mass), with lower but equivalent levels in petals (0.0</w:t>
      </w:r>
      <w:r w:rsidR="00D50324">
        <w:t>25</w:t>
      </w:r>
      <w:r>
        <w:t xml:space="preserve"> </w:t>
      </w:r>
      <w:r w:rsidRPr="004731D6">
        <w:t>±</w:t>
      </w:r>
      <w:r>
        <w:t xml:space="preserve"> 0.00</w:t>
      </w:r>
      <w:r w:rsidR="00D50324">
        <w:t>6</w:t>
      </w:r>
      <w:r>
        <w:t xml:space="preserve"> %), pistils (0.0</w:t>
      </w:r>
      <w:r w:rsidR="00C146FF">
        <w:t>23</w:t>
      </w:r>
      <w:r>
        <w:t xml:space="preserve"> </w:t>
      </w:r>
      <w:r w:rsidRPr="004731D6">
        <w:t>±</w:t>
      </w:r>
      <w:r>
        <w:t xml:space="preserve"> 0.00</w:t>
      </w:r>
      <w:r w:rsidR="00C146FF">
        <w:t>5</w:t>
      </w:r>
      <w:r>
        <w:t xml:space="preserve"> %), and pollen (0.0</w:t>
      </w:r>
      <w:r w:rsidR="00C146FF">
        <w:t>02</w:t>
      </w:r>
      <w:r>
        <w:t xml:space="preserve"> </w:t>
      </w:r>
      <w:r w:rsidRPr="004731D6">
        <w:t>±</w:t>
      </w:r>
      <w:r>
        <w:t xml:space="preserve"> 0.006 %). </w:t>
      </w:r>
      <w:r w:rsidR="00D202DD">
        <w:t>The single, pooled nectar sample</w:t>
      </w:r>
      <w:r>
        <w:t xml:space="preserve"> </w:t>
      </w:r>
      <w:r w:rsidR="00D202DD">
        <w:t xml:space="preserve">from </w:t>
      </w:r>
      <w:r w:rsidR="00204D9F">
        <w:t xml:space="preserve">ca. 40 flowers contained near trace swainsonine </w:t>
      </w:r>
      <w:r>
        <w:t>(&lt; 0.00</w:t>
      </w:r>
      <w:r w:rsidR="00204D9F">
        <w:t>2</w:t>
      </w:r>
      <w:r>
        <w:t xml:space="preserve"> %, </w:t>
      </w:r>
      <w:r w:rsidR="00204D9F">
        <w:t>just above</w:t>
      </w:r>
      <w:r>
        <w:t xml:space="preserve"> the LC-MS quantification limit</w:t>
      </w:r>
      <w:r w:rsidR="00204D9F">
        <w:t xml:space="preserve"> of 0.001%</w:t>
      </w:r>
      <w:r>
        <w:t xml:space="preserve">). </w:t>
      </w:r>
      <w:bookmarkEnd w:id="0"/>
      <w:r w:rsidR="00E568A1">
        <w:t>Regardless, all floral swainsonine levels were an order of magnitude lower than leaf swainsonine content</w:t>
      </w:r>
      <w:r w:rsidR="00256852">
        <w:t xml:space="preserve"> (0.200 </w:t>
      </w:r>
      <w:r w:rsidR="00256852" w:rsidRPr="004731D6">
        <w:t>±</w:t>
      </w:r>
      <w:r w:rsidR="00256852">
        <w:t xml:space="preserve"> </w:t>
      </w:r>
      <w:r w:rsidR="00BD2B97">
        <w:t>0.008</w:t>
      </w:r>
      <w:r w:rsidR="0090700D">
        <w:t xml:space="preserve"> %)</w:t>
      </w:r>
      <w:r w:rsidR="00E568A1">
        <w:t xml:space="preserve">. </w:t>
      </w:r>
    </w:p>
    <w:p w14:paraId="16E5D8B7" w14:textId="77777777" w:rsidR="00BE146F" w:rsidRDefault="00BE146F" w:rsidP="00AA608C"/>
    <w:p w14:paraId="680E2EF9" w14:textId="4062A7EB" w:rsidR="00AE3AF6" w:rsidRPr="00BB48F2" w:rsidRDefault="2CDDB881" w:rsidP="00BB48F2">
      <w:pPr>
        <w:pStyle w:val="Heading2"/>
      </w:pPr>
      <w:r w:rsidRPr="00BB48F2">
        <w:lastRenderedPageBreak/>
        <w:t xml:space="preserve">Pollinator </w:t>
      </w:r>
      <w:r w:rsidR="00FB196B">
        <w:t>Observations</w:t>
      </w:r>
    </w:p>
    <w:p w14:paraId="6514E1CD" w14:textId="6E32F5D5" w:rsidR="00D32A26" w:rsidRPr="00A83023" w:rsidRDefault="00901A68" w:rsidP="00D3655C">
      <w:pPr>
        <w:ind w:firstLine="720"/>
      </w:pPr>
      <w:r>
        <w:t>W</w:t>
      </w:r>
      <w:r w:rsidR="00D3655C">
        <w:t xml:space="preserve">e recorded </w:t>
      </w:r>
      <w:r w:rsidR="00CA00B7">
        <w:t>9,627</w:t>
      </w:r>
      <w:r w:rsidR="2CDDB881" w:rsidRPr="6EDED1DB">
        <w:t xml:space="preserve"> </w:t>
      </w:r>
      <w:r w:rsidR="00D3655C">
        <w:t xml:space="preserve">bee visits in 2023 </w:t>
      </w:r>
      <w:r w:rsidR="2CDDB881" w:rsidRPr="6EDED1DB">
        <w:t>and 9</w:t>
      </w:r>
      <w:r w:rsidR="00CA00B7">
        <w:t>,</w:t>
      </w:r>
      <w:r w:rsidR="2CDDB881" w:rsidRPr="6EDED1DB">
        <w:t xml:space="preserve">206 </w:t>
      </w:r>
      <w:r w:rsidR="00D32A26">
        <w:t xml:space="preserve">in 2024. </w:t>
      </w:r>
      <w:r w:rsidR="00BA6030">
        <w:t>N</w:t>
      </w:r>
      <w:r w:rsidR="00D32A26">
        <w:t xml:space="preserve">ative bees, </w:t>
      </w:r>
      <w:r w:rsidR="2CDDB881" w:rsidRPr="6EDED1DB">
        <w:rPr>
          <w:i/>
          <w:iCs/>
        </w:rPr>
        <w:t xml:space="preserve">Bombus </w:t>
      </w:r>
      <w:proofErr w:type="spellStart"/>
      <w:r w:rsidR="2CDDB881" w:rsidRPr="6EDED1DB">
        <w:rPr>
          <w:i/>
          <w:iCs/>
        </w:rPr>
        <w:t>huntii</w:t>
      </w:r>
      <w:proofErr w:type="spellEnd"/>
      <w:r w:rsidR="2CDDB881" w:rsidRPr="6EDED1DB">
        <w:t xml:space="preserve">, </w:t>
      </w:r>
      <w:r w:rsidR="2CDDB881" w:rsidRPr="6EDED1DB">
        <w:rPr>
          <w:i/>
          <w:iCs/>
        </w:rPr>
        <w:t>B. nevadensis</w:t>
      </w:r>
      <w:r w:rsidR="00F953E6">
        <w:rPr>
          <w:i/>
          <w:iCs/>
        </w:rPr>
        <w:t>,</w:t>
      </w:r>
      <w:r w:rsidR="2CDDB881" w:rsidRPr="6EDED1DB">
        <w:rPr>
          <w:i/>
          <w:iCs/>
        </w:rPr>
        <w:t xml:space="preserve"> </w:t>
      </w:r>
      <w:r w:rsidR="00D32A26">
        <w:t>and</w:t>
      </w:r>
      <w:r w:rsidR="2CDDB881" w:rsidRPr="6EDED1DB">
        <w:t xml:space="preserve"> </w:t>
      </w:r>
      <w:r w:rsidR="00E95E49">
        <w:t xml:space="preserve">several </w:t>
      </w:r>
      <w:r w:rsidR="2CDDB881" w:rsidRPr="6EDED1DB">
        <w:t xml:space="preserve">male </w:t>
      </w:r>
      <w:r w:rsidR="2CDDB881" w:rsidRPr="6EDED1DB">
        <w:rPr>
          <w:i/>
          <w:iCs/>
        </w:rPr>
        <w:t>Megachile spp</w:t>
      </w:r>
      <w:r w:rsidR="00486AEC">
        <w:rPr>
          <w:i/>
          <w:iCs/>
        </w:rPr>
        <w:t>.</w:t>
      </w:r>
      <w:r w:rsidR="00E95E49">
        <w:t xml:space="preserve"> </w:t>
      </w:r>
      <w:r w:rsidR="00D32A26">
        <w:t>dominated the assemblage</w:t>
      </w:r>
      <w:r w:rsidR="00BA6030">
        <w:t xml:space="preserve"> based on visual identification (person communication, Casey Delphia, 2023)</w:t>
      </w:r>
      <w:r w:rsidR="2CDDB881" w:rsidRPr="6EDED1DB">
        <w:t>.</w:t>
      </w:r>
      <w:r w:rsidR="00F953E6">
        <w:t xml:space="preserve"> </w:t>
      </w:r>
      <w:r w:rsidR="00D32A26">
        <w:t xml:space="preserve">In 2023, mean visits per plant did not differ </w:t>
      </w:r>
      <w:r w:rsidR="00791790">
        <w:t>between E+ (n = 4,812) and E- (n = 4,815) plants (F</w:t>
      </w:r>
      <w:r w:rsidR="00670D8D">
        <w:rPr>
          <w:vertAlign w:val="subscript"/>
        </w:rPr>
        <w:t>1,30</w:t>
      </w:r>
      <w:r w:rsidR="00670D8D">
        <w:t xml:space="preserve"> = 0.12, </w:t>
      </w:r>
      <w:r w:rsidR="00670D8D" w:rsidRPr="009B2424">
        <w:rPr>
          <w:i/>
          <w:iCs/>
        </w:rPr>
        <w:t>p</w:t>
      </w:r>
      <w:r w:rsidR="00670D8D">
        <w:t xml:space="preserve"> = 0.73</w:t>
      </w:r>
      <w:r w:rsidR="00AB19A6">
        <w:t xml:space="preserve">; </w:t>
      </w:r>
      <w:r w:rsidR="00AB19A6" w:rsidRPr="00EC125F">
        <w:t>Fig</w:t>
      </w:r>
      <w:r w:rsidR="00EC125F" w:rsidRPr="00EC125F">
        <w:t>ure</w:t>
      </w:r>
      <w:r w:rsidR="00AB19A6" w:rsidRPr="00EC125F">
        <w:t xml:space="preserve"> 4</w:t>
      </w:r>
      <w:r w:rsidR="00670D8D">
        <w:t>). In 2024, E+ flowers received a modest increase in visits</w:t>
      </w:r>
      <w:r w:rsidR="00316CD5">
        <w:t xml:space="preserve"> compared</w:t>
      </w:r>
      <w:r w:rsidR="00670D8D">
        <w:t xml:space="preserve"> </w:t>
      </w:r>
      <w:r w:rsidR="004731D6">
        <w:t>to E</w:t>
      </w:r>
      <w:r w:rsidR="00134325">
        <w:t>-</w:t>
      </w:r>
      <w:r w:rsidR="004731D6">
        <w:t xml:space="preserve"> plants (mean </w:t>
      </w:r>
      <w:r w:rsidR="004731D6" w:rsidRPr="004731D6">
        <w:t>±</w:t>
      </w:r>
      <w:r w:rsidR="004731D6">
        <w:t xml:space="preserve"> SE: 5.12</w:t>
      </w:r>
      <w:r w:rsidR="00A83023">
        <w:t xml:space="preserve"> </w:t>
      </w:r>
      <w:r w:rsidR="00A83023" w:rsidRPr="004731D6">
        <w:t>±</w:t>
      </w:r>
      <w:r w:rsidR="00A83023">
        <w:t xml:space="preserve"> 0.21 vs. 4.08 </w:t>
      </w:r>
      <w:r w:rsidR="00A83023" w:rsidRPr="004731D6">
        <w:t>±</w:t>
      </w:r>
      <w:r w:rsidR="00A83023">
        <w:t xml:space="preserve"> 0.18 visits per plant; F</w:t>
      </w:r>
      <w:r w:rsidR="00A83023">
        <w:rPr>
          <w:vertAlign w:val="subscript"/>
        </w:rPr>
        <w:t>1,30</w:t>
      </w:r>
      <w:r w:rsidR="00A83023">
        <w:t xml:space="preserve"> = </w:t>
      </w:r>
      <w:r w:rsidR="00446F82">
        <w:t xml:space="preserve">6.48, </w:t>
      </w:r>
      <w:r w:rsidR="00446F82" w:rsidRPr="009B2424">
        <w:rPr>
          <w:i/>
          <w:iCs/>
        </w:rPr>
        <w:t>p</w:t>
      </w:r>
      <w:r w:rsidR="00446F82">
        <w:t xml:space="preserve"> = 0.016</w:t>
      </w:r>
      <w:r w:rsidR="00933EF2">
        <w:t xml:space="preserve">, </w:t>
      </w:r>
      <w:r w:rsidR="00240B0B">
        <w:t>Supp. Fig. 2</w:t>
      </w:r>
      <w:r w:rsidR="00446F82">
        <w:t>)</w:t>
      </w:r>
      <w:r w:rsidR="009D15D0">
        <w:t xml:space="preserve">, with no corresponding differences in VOC or nectar traits. </w:t>
      </w:r>
    </w:p>
    <w:p w14:paraId="0309DB80" w14:textId="63C9F154" w:rsidR="00CE7B9D" w:rsidRPr="002D27DA" w:rsidRDefault="00CE7B9D" w:rsidP="000D773A"/>
    <w:p w14:paraId="3B710FCD" w14:textId="153F7CF1" w:rsidR="00AE3AF6" w:rsidRDefault="2CDDB881" w:rsidP="00BB48F2">
      <w:pPr>
        <w:pStyle w:val="Heading2"/>
      </w:pPr>
      <w:r w:rsidRPr="6EDED1DB">
        <w:t xml:space="preserve">Nectar Volume &amp; </w:t>
      </w:r>
      <w:r w:rsidR="005B3A32">
        <w:t>Sucrose Concentration</w:t>
      </w:r>
    </w:p>
    <w:p w14:paraId="105F5F26" w14:textId="7B83E69D" w:rsidR="00446F82" w:rsidRPr="009B2424" w:rsidRDefault="00446F82" w:rsidP="00AE3AF6">
      <w:pPr>
        <w:ind w:firstLine="720"/>
      </w:pPr>
      <w:r>
        <w:t xml:space="preserve">Nectar volume averaged 2.03 </w:t>
      </w:r>
      <w:r w:rsidRPr="004731D6">
        <w:t>±</w:t>
      </w:r>
      <w:r>
        <w:t xml:space="preserve"> 0.09 </w:t>
      </w:r>
      <w:r w:rsidR="0011166B" w:rsidRPr="0011166B">
        <w:t>µL</w:t>
      </w:r>
      <w:r w:rsidR="0011166B">
        <w:t xml:space="preserve"> per flower for E+ plants and 2.07 </w:t>
      </w:r>
      <w:r w:rsidR="0011166B" w:rsidRPr="004731D6">
        <w:t>±</w:t>
      </w:r>
      <w:r w:rsidR="0011166B">
        <w:t xml:space="preserve"> 0.08 </w:t>
      </w:r>
      <w:r w:rsidR="0011166B" w:rsidRPr="0011166B">
        <w:t>µL</w:t>
      </w:r>
      <w:r w:rsidR="0011166B">
        <w:t xml:space="preserve"> for E- plants, with no significant effect of endophyte status after accounting for year, time of day, and block (F</w:t>
      </w:r>
      <w:r w:rsidR="0011166B">
        <w:rPr>
          <w:vertAlign w:val="subscript"/>
        </w:rPr>
        <w:t>1,58</w:t>
      </w:r>
      <w:r w:rsidR="0011166B">
        <w:t xml:space="preserve"> = 0.07, </w:t>
      </w:r>
      <w:r w:rsidR="0011166B" w:rsidRPr="009B2424">
        <w:rPr>
          <w:i/>
          <w:iCs/>
        </w:rPr>
        <w:t>p</w:t>
      </w:r>
      <w:r w:rsidR="0011166B">
        <w:t xml:space="preserve"> = 0.79</w:t>
      </w:r>
      <w:r w:rsidR="00572BD9">
        <w:t xml:space="preserve">; </w:t>
      </w:r>
      <w:r w:rsidR="00697BC9">
        <w:t>Figure 4)</w:t>
      </w:r>
      <w:r w:rsidR="00715256">
        <w:t xml:space="preserve">. Similarly, sucrose concentration did not differ (E+: 32.6 </w:t>
      </w:r>
      <w:r w:rsidR="00715256" w:rsidRPr="004731D6">
        <w:t>±</w:t>
      </w:r>
      <w:r w:rsidR="00715256">
        <w:t xml:space="preserve"> 1.2 %; E-: 34.9 </w:t>
      </w:r>
      <w:r w:rsidR="00715256" w:rsidRPr="004731D6">
        <w:t>±</w:t>
      </w:r>
      <w:r w:rsidR="009B2424">
        <w:t xml:space="preserve"> 1.1%; F</w:t>
      </w:r>
      <w:r w:rsidR="009B2424">
        <w:rPr>
          <w:vertAlign w:val="subscript"/>
        </w:rPr>
        <w:t>1,58</w:t>
      </w:r>
      <w:r w:rsidR="009B2424">
        <w:t xml:space="preserve"> = 1.34, </w:t>
      </w:r>
      <w:r w:rsidR="009B2424" w:rsidRPr="009B2424">
        <w:rPr>
          <w:i/>
          <w:iCs/>
        </w:rPr>
        <w:t>p</w:t>
      </w:r>
      <w:r w:rsidR="009B2424">
        <w:t xml:space="preserve"> = 0.25</w:t>
      </w:r>
      <w:r w:rsidR="003E286A">
        <w:t>, Supp. Fig. 1</w:t>
      </w:r>
      <w:r w:rsidR="009B2424">
        <w:t xml:space="preserve">). Across treatments, nectar volume and sucrose concentration were negatively correlated (r = -0.47, </w:t>
      </w:r>
      <w:r w:rsidR="009B2424">
        <w:rPr>
          <w:i/>
          <w:iCs/>
        </w:rPr>
        <w:t>p</w:t>
      </w:r>
      <w:r w:rsidR="009B2424">
        <w:t xml:space="preserve"> &lt; 0.001).</w:t>
      </w:r>
    </w:p>
    <w:p w14:paraId="0F4EF563" w14:textId="525CEDA2" w:rsidR="00CE7B9D" w:rsidRPr="002D27DA" w:rsidRDefault="00CE7B9D" w:rsidP="000D773A"/>
    <w:p w14:paraId="202064CA" w14:textId="29640E97" w:rsidR="00AE3AF6" w:rsidRDefault="009B2424" w:rsidP="00BB48F2">
      <w:pPr>
        <w:pStyle w:val="Heading2"/>
      </w:pPr>
      <w:r>
        <w:t>Pollinator Exclusion and Outcrossing</w:t>
      </w:r>
    </w:p>
    <w:p w14:paraId="6AFE7B67" w14:textId="78A21A8A" w:rsidR="009B2424" w:rsidRPr="00A22AF9" w:rsidRDefault="009B2424" w:rsidP="00AE3AF6">
      <w:pPr>
        <w:ind w:firstLine="720"/>
      </w:pPr>
      <w:r>
        <w:t xml:space="preserve">Bagged flowers on both E+ and E- plants </w:t>
      </w:r>
      <w:r w:rsidR="00B7504B">
        <w:t>failed</w:t>
      </w:r>
      <w:r>
        <w:t xml:space="preserve"> to set seed, whereas all unbagged controls produced pods, confirming obligate outcrossing in </w:t>
      </w:r>
      <w:r>
        <w:rPr>
          <w:i/>
          <w:iCs/>
        </w:rPr>
        <w:t>O. sericea</w:t>
      </w:r>
      <w:r>
        <w:t xml:space="preserve">. Mean seed set per scape did not differ by endophyte status in open-pollinated flowers (E+: 28.4 </w:t>
      </w:r>
      <w:r w:rsidRPr="004731D6">
        <w:t>±</w:t>
      </w:r>
      <w:r>
        <w:t xml:space="preserve"> 2.1 seeds; E-: 29.1 </w:t>
      </w:r>
      <w:r w:rsidRPr="004731D6">
        <w:t>±</w:t>
      </w:r>
      <w:r>
        <w:t xml:space="preserve"> 2.3 seeds; F</w:t>
      </w:r>
      <w:r>
        <w:rPr>
          <w:vertAlign w:val="subscript"/>
        </w:rPr>
        <w:t>1,38</w:t>
      </w:r>
      <w:r w:rsidR="00A22AF9">
        <w:t xml:space="preserve"> = 0.05, </w:t>
      </w:r>
      <w:r w:rsidR="00A22AF9">
        <w:rPr>
          <w:i/>
          <w:iCs/>
        </w:rPr>
        <w:t>p</w:t>
      </w:r>
      <w:r w:rsidR="00A22AF9">
        <w:t xml:space="preserve"> = 0.82).</w:t>
      </w:r>
    </w:p>
    <w:p w14:paraId="7CDC1FEE" w14:textId="77777777" w:rsidR="00B3168A" w:rsidRPr="002D27DA" w:rsidRDefault="00B3168A" w:rsidP="000D773A"/>
    <w:p w14:paraId="0C4C93B1" w14:textId="77777777" w:rsidR="00C60DD9" w:rsidRDefault="00C60DD9" w:rsidP="007061BD">
      <w:pPr>
        <w:pStyle w:val="Heading1"/>
      </w:pPr>
      <w:r>
        <w:br w:type="page"/>
      </w:r>
    </w:p>
    <w:p w14:paraId="5434A9A8" w14:textId="7E793E00" w:rsidR="0020431A" w:rsidRDefault="00B3168A" w:rsidP="007061BD">
      <w:pPr>
        <w:pStyle w:val="Heading1"/>
      </w:pPr>
      <w:r w:rsidRPr="6EDED1DB">
        <w:lastRenderedPageBreak/>
        <w:t>DISCUSSION</w:t>
      </w:r>
    </w:p>
    <w:p w14:paraId="29CD6746" w14:textId="0D7818F3" w:rsidR="00A82583" w:rsidRDefault="00F63416" w:rsidP="00A82583">
      <w:pPr>
        <w:rPr>
          <w:b/>
          <w:bCs/>
        </w:rPr>
      </w:pPr>
      <w:r>
        <w:rPr>
          <w:b/>
          <w:bCs/>
        </w:rPr>
        <w:t>Plant-Level Variation Structures Chemical Phenotypes Independent of Symbiotic Status</w:t>
      </w:r>
    </w:p>
    <w:p w14:paraId="47FFB5C1" w14:textId="24FD5F6F" w:rsidR="00A82583" w:rsidRDefault="008A0AB2" w:rsidP="00A82583">
      <w:pPr>
        <w:ind w:firstLine="720"/>
      </w:pPr>
      <w:r>
        <w:t xml:space="preserve">Plant pair identity </w:t>
      </w:r>
      <w:r>
        <w:t>–</w:t>
      </w:r>
      <w:r>
        <w:t xml:space="preserve"> </w:t>
      </w:r>
      <w:r w:rsidR="006D12F9">
        <w:t xml:space="preserve">which likely integrates fine-scale environmental, genetic, or other individual-level variation not directly measured here </w:t>
      </w:r>
      <w:r w:rsidR="006D12F9">
        <w:t>–</w:t>
      </w:r>
      <w:r w:rsidR="006D12F9">
        <w:t xml:space="preserve"> explained the large majority of VOC variance in both greenhouse and field settings</w:t>
      </w:r>
      <w:r>
        <w:t xml:space="preserve">, with endophyte status contributing less than 1% in each context. Temporal effects were also significant, </w:t>
      </w:r>
      <w:r w:rsidR="009B4417">
        <w:t>underscoring inter-annual VOC variation that likely reflects environmental or phenological differences, though the specific drivers were not directly quantified here</w:t>
      </w:r>
      <w:r>
        <w:t>.</w:t>
      </w:r>
      <w:r w:rsidR="00A82583">
        <w:t xml:space="preserve"> Future work could explicitly m</w:t>
      </w:r>
      <w:r w:rsidR="00A82583" w:rsidRPr="003148A8">
        <w:t xml:space="preserve">anipulate microsite conditions such as soil moisture, temperature, and light intensity </w:t>
      </w:r>
      <w:r w:rsidR="00A82583">
        <w:t xml:space="preserve">to determine whether symbiotic effects emerge under specific stressors. However, evidence for strong stress-mediated endophyte effects in locoweeds remains limited. For example, drought conditions altered antioxidant defenses in </w:t>
      </w:r>
      <w:r w:rsidR="00A82583">
        <w:rPr>
          <w:i/>
          <w:iCs/>
        </w:rPr>
        <w:t xml:space="preserve">Astragalus </w:t>
      </w:r>
      <w:proofErr w:type="spellStart"/>
      <w:r w:rsidR="00A82583">
        <w:rPr>
          <w:i/>
          <w:iCs/>
        </w:rPr>
        <w:t>mollissimus</w:t>
      </w:r>
      <w:proofErr w:type="spellEnd"/>
      <w:r w:rsidR="00A82583">
        <w:rPr>
          <w:i/>
          <w:iCs/>
        </w:rPr>
        <w:t xml:space="preserve"> </w:t>
      </w:r>
      <w:r w:rsidR="00A82583">
        <w:t xml:space="preserve">but not in </w:t>
      </w:r>
      <w:r w:rsidR="00A82583">
        <w:rPr>
          <w:i/>
          <w:iCs/>
        </w:rPr>
        <w:t>O. sericea</w:t>
      </w:r>
      <w:r w:rsidR="00A82583">
        <w:t xml:space="preserve"> </w:t>
      </w:r>
      <w:r w:rsidR="00A82583">
        <w:fldChar w:fldCharType="begin"/>
      </w:r>
      <w:r w:rsidR="00116C88">
        <w:instrText xml:space="preserve"> ADDIN ZOTERO_ITEM CSL_CITATION {"citationID":"RiiQ6BB9","properties":{"formattedCitation":"(Klypina et al. 2017)","plainCitation":"(Klypina et al. 2017)","noteIndex":0},"citationItems":[{"id":"wS90xIuu/pzVNDSnG","uris":["http://zotero.org/users/14577776/items/KQ4AUR6Q"],"itemData":{"id":2109,"type":"article-journal","abstract":"Locoweeds are plants of the genera\n              Astragalus\n              and\n              Oxytropis\n              (Fabaceae family) and are toxic to cattle, sheep, and horses. The toxic property of locoweeds is due to the alkaloid swainsonine (SWA), which is synthesized by an endophytic fungus\n              Alternaria\n              spp. section\n              Undifilum\n              . Although the endophyte–locoweed complex is often considered mutualistic, empirical evidence for benefits to host plants is lacking. This study: 1) compared the growth, photosynthesis, and leaf pigment and antioxidant concentrations between endophyte-infected and endophyte-free plants under well-watered and water-deficit conditions; and 2) measured SWA to determine whether SWA concentrations are attenuated by water deficit and leaf age. Locoweed species in this study were woolly loco and silky crazyweed. Endophyte-infected and endophyte-free (by removal of seed coat) seedlings, as confirmed by DNA analyses, were grown under greenhouse conditions for 6 mo, after which plants were subjected to three 12- to 15-d water-deficit periods that created sublethal drought conditions. Results suggest that the endophyte did not influence photosynthetic gas exchange and leaf pigment concentrations. Under well-watered conditions only, endophyte-infected woolly loco plants had lower shoot and root biomass and higher concentrations of α-tocopherol than endophyte-free plants. SWA analyses revealed taxon-specific effects of water deficit, with water deficit increasing SWA concentrations in young leaves of woolly loco but not affecting SWA concentration in silky crazyweed. These results suggest that the endophyte behaves as a parasite in woolly loco plants grown under optimal but not under water-limited conditions. Further, results indicate that drought conditions elevate the toxicity of woolly loco plants. Improved understanding of endophyte-locoweed interactions and factors influencing SWA levels will contribute to the development of livestock management strategies to predict toxicity in particular locoweed populations.","container-title":"Weed Science","DOI":"10.1017/wsc.2017.21","ISSN":"1550-2759","issue":"5","journalAbbreviation":"Weed Sci","language":"en","license":"https://www.cambridge.org/core/terms","page":"626-638","source":"DOI.org (Crossref)","title":"Water-Deficit Stress Tolerance Differs between Two Locoweed Genera ( &lt;i&gt;Astragalus&lt;/i&gt; and &lt;i&gt;Oxytropis&lt;/i&gt; ) with Fungal Endophytes","URL":"https://www.cambridge.org/core/product/identifier/S0043174517000212/type/journal_article","volume":"65","author":[{"family":"Klypina","given":"Nina"},{"family":"Pinch","given":"Matthew"},{"family":"Schutte","given":"Brian J."},{"family":"Maruthavanan","given":"Janakiraman"},{"family":"Sterling","given":"Tracy M."}],"accessed":{"date-parts":[["2025",12,10]]},"issued":{"date-parts":[["2017",9]]}}}],"schema":"https://github.com/citation-style-language/schema/raw/master/csl-citation.json"} </w:instrText>
      </w:r>
      <w:r w:rsidR="00A82583">
        <w:fldChar w:fldCharType="separate"/>
      </w:r>
      <w:r w:rsidR="00A82583">
        <w:rPr>
          <w:noProof/>
        </w:rPr>
        <w:t>(Klypina et al. 2017)</w:t>
      </w:r>
      <w:r w:rsidR="00A82583">
        <w:fldChar w:fldCharType="end"/>
      </w:r>
      <w:r w:rsidR="00A82583">
        <w:t xml:space="preserve">, but long-term field experiments spanning a decade of variable thermal and moisture conditions detected no endophyte effect on host fecundity </w:t>
      </w:r>
      <w:r w:rsidR="00A82583">
        <w:fldChar w:fldCharType="begin"/>
      </w:r>
      <w:r w:rsidR="00A82583">
        <w:instrText xml:space="preserve"> ADDIN ZOTERO_ITEM CSL_CITATION {"citationID":"hM8RuEqN","properties":{"formattedCitation":"(Keith et al. 2025)","plainCitation":"(Keith et al. 2025)","noteIndex":0},"citationItems":[{"id":2100,"uris":["http://zotero.org/users/14577776/items/27X5PEXA"],"itemData":{"id":2100,"type":"article-journal","abstract":"Abstract\n            \n              Plants in the genera\n              Astragalus\n              and\n              Oxytropis\n              , collectively referred to as “locoweeds,” contain swainsonine, a toxic alkaloid synthesized by their fungal endophyte\n              Alternaria\n              sect.\n              Undifilum\n              . The ecological role of this endophyte across the mutualism–commensalism–parasitism continuum is unknown. We examined the fitness traits of\n              Astragalus\n              and\n              Oxytropis\n              species growing with and without the endophyte, in a 9-yr, common-garden experiment. Silky crazyweed (\n              Oxytropis sericea\n              Nutt.) and woolly loco (\n              Astragalus mollissimus\n              Torr.) plants germinated from seeds that naturally host the endophyte (E+) and with it mechanically removed (E−) were established in a common garden in southwest Montana. We measured mortality, gas exchange, flower and seed production, seed germination, and final biomass\n              . Astragalus mollissimus\n              plants grew as annuals under common-garden conditions regardless of endophyte status.\n              Oxytropis sericea\n              plants grew as perennials with survival unaffected by endophyte; however, E+\n              O. sericea\n              plants produced slightly more reproductive stems, flowers per stem, and crown and stem biomass. Maternal effects detected in the parental generation disappeared in subsequent generations. Gas exchange, fecundity, and seed germination were unaffected by endophyte. Contrary to our initial hypothesis of mutualism, the endophyte did not improve host survival or fecundity, nor did we detect transgenerational effects. However, the endophyte did slightly increase the number of reproductive stems and flowers per stem and crown and stem mass in\n              O. sericea\n              , suggesting endophytic effects on carbohydrate biochemistry and pollination parameters should be examined. Lack of selection for or against endophyte-containing plants allows both nontoxic and toxic swainsonine-producing plants to persist in\n              Astragalus\n              and\n              Oxytropis\n              populations, posing a continued threat to grazing livestock.","container-title":"Weed Science","DOI":"10.1017/wsc.2025.10026","ISSN":"0043-1745, 1550-2759","issue":"1","journalAbbreviation":"Weed Sci","language":"en","page":"e55","source":"DOI.org (Crossref)","title":"The locoweed–endophyte complex as commensalism: a multigenerational study","title-short":"The locoweed–endophyte complex as commensalism","URL":"https://www.cambridge.org/core/product/identifier/S004317452510026X/type/journal_article","volume":"73","author":[{"family":"Keith","given":"Barbara"},{"family":"Ahortor","given":"Mcbeth"},{"family":"Linse","given":"Greta"},{"family":"Greenwood","given":"Mark"},{"family":"Ward","given":"Sarah"},{"family":"Cook","given":"Daniel"},{"family":"Sterling","given":"Tracy M."}],"accessed":{"date-parts":[["2025",12,10]]},"issued":{"date-parts":[["2025"]]}}}],"schema":"https://github.com/citation-style-language/schema/raw/master/csl-citation.json"} </w:instrText>
      </w:r>
      <w:r w:rsidR="00A82583">
        <w:fldChar w:fldCharType="separate"/>
      </w:r>
      <w:r w:rsidR="00A82583">
        <w:rPr>
          <w:noProof/>
        </w:rPr>
        <w:t>(Keith et al. 2025)</w:t>
      </w:r>
      <w:r w:rsidR="00A82583">
        <w:fldChar w:fldCharType="end"/>
      </w:r>
      <w:r w:rsidR="00A82583">
        <w:t xml:space="preserve">. Together, these findings suggest that, unlike many grass-endophyte systems where symbiotic benefits are often stress-contingent </w:t>
      </w:r>
      <w:r w:rsidR="00A82583">
        <w:fldChar w:fldCharType="begin"/>
      </w:r>
      <w:r w:rsidR="00A82583">
        <w:instrText xml:space="preserve"> ADDIN ZOTERO_ITEM CSL_CITATION {"citationID":"R4vFBIL9","properties":{"formattedCitation":"(Shankar Naik 2019; Lee et al. 2021; Luna-Fontalvo et al. 2025)","plainCitation":"(Shankar Naik 2019; Lee et al. 2021; Luna-Fontalvo et al. 2025)","noteIndex":0},"citationItems":[{"id":2106,"uris":["http://zotero.org/users/14577776/items/FPLH6NR4"],"itemData":{"id":2106,"type":"article-journal","container-title":"Symbiosis","DOI":"10.1007/s13199-019-00635-1","ISSN":"0334-5114, 1878-7665","issue":"2","journalAbbreviation":"Symbiosis","language":"en","page":"99-115","source":"DOI.org (Crossref)","title":"Functional roles of fungal endophytes in host fitness during stress conditions","URL":"http://link.springer.com/10.1007/s13199-019-00635-1","volume":"79","author":[{"family":"Shankar Naik","given":"B."}],"accessed":{"date-parts":[["2025",12,10]]},"issued":{"date-parts":[["2019",10]]}}},{"id":2125,"uris":["http://zotero.org/users/14577776/items/S678GSIW"],"itemData":{"id":2125,"type":"article-journal","abstract":"Cool-season grasses are the most common forage types in livestock operations and amenities. Several of the cool-season grasses establish mutualistic associations with an endophytic fungus of the Epichloë genus. The grasses and endophytic fungi have evolved over a long period of time to form host-fungus specific relationships that confer protection for the grass against various stressors in exchange for housing and nutrients to the fungus. This review provides an overview of the mechanisms by which Epichloë endophytes and grasses interact, including molecular pathways for secondary metabolite production. It also outlines specific mechanisms by which the endophyte helps protect the plant from various abiotic and biotic stressors. Finally, the review provides information on how Epichloë infection of grass and stressors affect the rhizosphere environment of the plant.","container-title":"Microorganisms","DOI":"10.3390/microorganisms9112186","ISSN":"2076-2607","issue":"11","journalAbbreviation":"Microorganisms","language":"en","page":"2186","source":"DOI.org (Crossref)","title":"Interaction between Grasses and Epichloë Endophytes and Its Significance to Biotic and Abiotic Stress Tolerance and the Rhizosphere","URL":"https://www.mdpi.com/2076-2607/9/11/2186","volume":"9","author":[{"family":"Lee","given":"Kendall"},{"family":"Missaoui","given":"Ali"},{"family":"Mahmud","given":"Kishan"},{"family":"Presley","given":"Holly"},{"family":"Lonnee","given":"Marin"}],"accessed":{"date-parts":[["2025",12,11]]},"issued":{"date-parts":[["2021",10,20]]}}},{"id":2124,"uris":["http://zotero.org/users/14577776/items/M3W3REHG"],"itemData":{"id":2124,"type":"article-journal","abstract":"Epichloë is a genus of endophytic fungi that forms systemic, vertically transmitted, and asymptomatic mutualistic associations with grasses in the subfamily Pooideae. These symbioses are non-pathogenic and are of considerable importance in agronomic and livestock systems due to their roles in enhancing host fitness under biotic and abiotic stress. Several studies have reported associations between Epichloë endophytes and species of the genus Bromus, a taxonomically complex group characterized by varying ploidy levels and frequent hybridization. Among its sections, Bromopsis includes the highest number of species naturally colonized by Epichloë fungi, while sections Bromus and Ceratochloa show lower infection rates. In South America, endophytes such as E. pampeana, E. tembladerae, E. typhina, and morphotypes of Neotyphodium spp. have been documented in species including B. auleticus, B. brachyanthera, and B. setifolius, where they appear to contribute to stress resilience. Although most findings originate from Argentina, significant knowledge gaps remain regarding the diversity and distribution of these endophytes in native Bromus species across the continent. This review synthesizes the current understanding of Epichloë–Bromus interactions, emphasizing their ecological and agronomic relevance, particularly in South America. Key factors influencing the establishment of these symbioses are examined, and future research directions are proposed to advance the study of these associations.","container-title":"Journal of Fungi","DOI":"10.3390/jof11110807","ISSN":"2309-608X","issue":"11","journalAbbreviation":"JoF","language":"en","page":"807","source":"DOI.org (Crossref)","title":"Symbiosis Between Epichloë Fungi and Bromus Grasses: A Review of Current Knowledge and Future Directions","title-short":"Symbiosis Between Epichloë Fungi and Bromus Grasses","URL":"https://www.mdpi.com/2309-608X/11/11/807","volume":"11","author":[{"family":"Luna-Fontalvo","given":"Jorge A."},{"family":"Balocchi","given":"Oscar"},{"family":"Martínez","given":"Oscar"},{"family":"Alonso","given":"Máximo"},{"family":"Ferrada","given":"Enrique"}],"accessed":{"date-parts":[["2025",12,11]]},"issued":{"date-parts":[["2025",11,13]]}}}],"schema":"https://github.com/citation-style-language/schema/raw/master/csl-citation.json"} </w:instrText>
      </w:r>
      <w:r w:rsidR="00A82583">
        <w:fldChar w:fldCharType="separate"/>
      </w:r>
      <w:r w:rsidR="00A82583">
        <w:rPr>
          <w:noProof/>
        </w:rPr>
        <w:t>(Shankar Naik 2019; Lee et al. 2021; Luna-Fontalvo et al. 2025)</w:t>
      </w:r>
      <w:r w:rsidR="00A82583">
        <w:fldChar w:fldCharType="end"/>
      </w:r>
      <w:r w:rsidR="00A82583">
        <w:t xml:space="preserve">, endophyte influences in locoweeds may be weak, highly context-specific, or restricted to untested physiological or ecological axes. </w:t>
      </w:r>
    </w:p>
    <w:p w14:paraId="37EC9856" w14:textId="77777777" w:rsidR="00A82583" w:rsidRDefault="00A82583" w:rsidP="00A82583">
      <w:pPr>
        <w:ind w:firstLine="720"/>
      </w:pPr>
      <w:r w:rsidRPr="00CF23C7">
        <w:t xml:space="preserve">Despite synthesizing swainsonine via a multistep indolizidine pathway (Lu et al. 2016), </w:t>
      </w:r>
      <w:r w:rsidRPr="00AC5176">
        <w:rPr>
          <w:i/>
          <w:iCs/>
        </w:rPr>
        <w:t>U. oxytropis</w:t>
      </w:r>
      <w:r w:rsidRPr="00CF23C7">
        <w:t xml:space="preserve"> had negligible influence on VOC composition</w:t>
      </w:r>
      <w:r>
        <w:t xml:space="preserve">, with </w:t>
      </w:r>
      <w:r w:rsidRPr="00CF23C7">
        <w:t xml:space="preserve">seven core volatiles consistent across endophyte treatments. </w:t>
      </w:r>
      <w:r>
        <w:t xml:space="preserve">Despite massive microsite-driven variation, seven core volatiles were detected consistently across both greenhouse and field environments, suggesting these compounds represent conserved, species-level chemical signatures maintained across </w:t>
      </w:r>
      <w:r>
        <w:lastRenderedPageBreak/>
        <w:t xml:space="preserve">environmental gradients. The year-specific pollinator anomaly noted above reinforces that pollinator interactions are structured by environment rather than endophyte-mediated chemistry, though such patterns warrant further investigation under controlled conditions. </w:t>
      </w:r>
    </w:p>
    <w:p w14:paraId="4E6F9445" w14:textId="77777777" w:rsidR="00A82583" w:rsidRPr="00A82583" w:rsidRDefault="00A82583" w:rsidP="00A82583"/>
    <w:p w14:paraId="64D580B6" w14:textId="5D265457" w:rsidR="00041929" w:rsidRDefault="00E63C50" w:rsidP="00041929">
      <w:pPr>
        <w:rPr>
          <w:b/>
          <w:bCs/>
        </w:rPr>
      </w:pPr>
      <w:r>
        <w:rPr>
          <w:b/>
          <w:bCs/>
        </w:rPr>
        <w:t>Plant-Level and Temporal Variation Dominate Volatile Signaling Independent of Symbiotic Status</w:t>
      </w:r>
    </w:p>
    <w:p w14:paraId="7A44D582" w14:textId="5F23D1C9" w:rsidR="000A26F4" w:rsidRDefault="000631DC" w:rsidP="00C33494">
      <w:r>
        <w:tab/>
      </w:r>
      <w:r w:rsidR="001E00E1">
        <w:t xml:space="preserve">Plant pair identity was the dominant statistical signal, explaining 72.6% of variance in greenhouse VOC profiles and 58.4% in field VOC profiles. These values far exceed endophyte contributions (&lt;1%), underscoring that plant-level variation unrelated to endophyte status is the primary source of VOC compositional differences in </w:t>
      </w:r>
      <w:r w:rsidR="001E00E1" w:rsidRPr="001E00E1">
        <w:rPr>
          <w:i/>
          <w:iCs/>
        </w:rPr>
        <w:t>O. sericea</w:t>
      </w:r>
      <w:r w:rsidR="001E00E1" w:rsidRPr="001E00E1">
        <w:t xml:space="preserve">. </w:t>
      </w:r>
      <w:r w:rsidR="001E00E1">
        <w:t>The specific drivers of pair-level variation -- whether environmental, genetic, developmental, or otherwise -- were not directly measured and warrant future investigation</w:t>
      </w:r>
      <w:r w:rsidR="00F44044">
        <w:t xml:space="preserve">. </w:t>
      </w:r>
      <w:r w:rsidR="00D5306F">
        <w:t xml:space="preserve">Compound-level analyses reinforced this pattern: SIMPER identified the same seven core volatiles as the dominant contributors to compositional dissimilarity across tissue types and years, and </w:t>
      </w:r>
      <w:proofErr w:type="spellStart"/>
      <w:r w:rsidR="00D5306F">
        <w:t>IndVal</w:t>
      </w:r>
      <w:proofErr w:type="spellEnd"/>
      <w:r w:rsidR="00D5306F">
        <w:t xml:space="preserve"> analysis found no compound with significant indicator value for endophyte status, consistent with our multivariate null result.</w:t>
      </w:r>
      <w:r w:rsidR="00D5306F">
        <w:t xml:space="preserve"> </w:t>
      </w:r>
      <w:r w:rsidR="009643B8">
        <w:t xml:space="preserve">Our results align with evidence that the </w:t>
      </w:r>
      <w:r w:rsidR="009643B8">
        <w:rPr>
          <w:i/>
          <w:iCs/>
        </w:rPr>
        <w:t>Oxytropis-Undifilum</w:t>
      </w:r>
      <w:r w:rsidR="009643B8">
        <w:t xml:space="preserve"> association functions a</w:t>
      </w:r>
      <w:r w:rsidR="009F34B2">
        <w:t xml:space="preserve">s a commensalism. </w:t>
      </w:r>
      <w:r w:rsidR="00251CBB">
        <w:t xml:space="preserve">However, the requirement for nitrogen provisioning to support swainsonine </w:t>
      </w:r>
      <w:r w:rsidR="000A26F4">
        <w:t>biosynthesis</w:t>
      </w:r>
      <w:r w:rsidR="00251CBB">
        <w:t xml:space="preserve"> suggests unresolved metabolic costs. The persistence of vertical transmission despite neutrality underscores an evolutionary puzzle: how does a fungus maintain long-term association without conferring measurable fitness benefits to its host?</w:t>
      </w:r>
      <w:r w:rsidR="009643B8">
        <w:t xml:space="preserve"> </w:t>
      </w:r>
      <w:r w:rsidR="000A26F4">
        <w:tab/>
      </w:r>
    </w:p>
    <w:p w14:paraId="19CCD278" w14:textId="634B60A0" w:rsidR="009643B8" w:rsidRPr="00C04B3F" w:rsidRDefault="000A26F4" w:rsidP="000A26F4">
      <w:pPr>
        <w:ind w:firstLine="720"/>
      </w:pPr>
      <w:r>
        <w:t>T</w:t>
      </w:r>
      <w:r w:rsidR="009643B8">
        <w:t xml:space="preserve">he fungus gains shelter and vertical transmission, while the host plant experiences no detectable effects on fitness, volatile signaling, </w:t>
      </w:r>
      <w:r w:rsidR="00E87082">
        <w:t xml:space="preserve">or reproduction </w:t>
      </w:r>
      <w:r w:rsidR="00683BB9">
        <w:fldChar w:fldCharType="begin"/>
      </w:r>
      <w:r w:rsidR="00211605">
        <w:instrText xml:space="preserve"> ADDIN ZOTERO_ITEM CSL_CITATION {"citationID":"rbxfX3Hx","properties":{"formattedCitation":"(Vallotton et al. 2012; Harrison et al. 2021; Keith et al. 2025)","plainCitation":"(Vallotton et al. 2012; Harrison et al. 2021; Keith et al. 2025)","noteIndex":0},"citationItems":[{"id":1290,"uris":["http://zotero.org/users/14577776/items/WKLSBJSX"],"itemData":{"id":1290,"type":"article-journal","container-title":"Acta Oecologica","DOI":"10.1016/j.actao.2012.06.006","ISSN":"1146609X","journalAbbreviation":"Acta Oecologica","language":"en","license":"https://www.elsevier.com/tdm/userlicense/1.0/","page":"140-149","source":"DOI.org (Crossref)","title":"Water deficit induces swainsonine of some locoweed taxa, but with no swainsonine-growth trade-off","URL":"https://linkinghub.elsevier.com/retrieve/pii/S1146609X12000914","volume":"43","author":[{"family":"Vallotton","given":"Amber D."},{"family":"Murray","given":"Leigh W."},{"family":"Delaney","given":"Kevin J."},{"family":"Sterling","given":"Tracy M."}],"accessed":{"date-parts":[["2025",6,19]]},"issued":{"date-parts":[["2012",8]]}}},{"id":1272,"uris":["http://zotero.org/users/14577776/items/UNVCE37R"],"itemData":{"id":1272,"type":"article-journal","abstract":"Abstract\n            Endophytes are microbes that live, for at least a portion of their life history, within plant tissues. Endophyte assemblages are often composed of a few abundant taxa and many infrequently observed, low-biomass taxa that are, in a word, rare. The ways in which most endophytes affect host phenotype are unknown; however, certain dominant endophytes can influence plants in ecologically meaningful ways—including by affecting growth and immune system functioning. In contrast, the effects of rare endophytes on their hosts have been unexplored, including how rare endophytes might interact with abundant endophytes to shape plant phenotype. Here, we manipulate both the suite of rare foliar endophytes (including both fungi and bacteria) and Alternaria fulva–a vertically transmitted and usually abundant fungus–within the fabaceous forb Astragalus lentiginosus. We report that rare, low-biomass endophytes affected host size and foliar %N, but only when the heritable fungal endophyte (A. fulva) was not present. A. fulva also reduced plant size and %N, but these deleterious effects on the host could be offset by a negative association we observed between this heritable fungus and a foliar pathogen. These results demonstrate how interactions among endophytic taxa determine the net effects on host plants and suggest that the myriad rare endophytes within plant leaves may be more than a collection of uninfluential, commensal organisms, but instead have meaningful ecological roles.","container-title":"The ISME Journal","DOI":"10.1038/s41396-021-00964-4","ISSN":"1751-7362, 1751-7370","issue":"9","language":"en","license":"https://academic.oup.com/pages/standard-publication-reuse-rights","page":"2763-2778","source":"DOI.org (Crossref)","title":"A suite of rare microbes interacts with a dominant, heritable, fungal endophyte to influence plant trait expression","URL":"https://academic.oup.com/ismej/article/15/9/2763-2778/7474606","volume":"15","author":[{"family":"Harrison","given":"Joshua G"},{"family":"Beltran","given":"Lyra P"},{"family":"Buerkle","given":"C Alex"},{"family":"Cook","given":"Daniel"},{"family":"Gardner","given":"Dale R"},{"family":"Parchman","given":"Thomas L"},{"family":"Poulson","given":"Simon R"},{"family":"Forister","given":"Matthew L"}],"accessed":{"date-parts":[["2025",6,19]]},"issued":{"date-parts":[["2021",9,1]]}}},{"id":2100,"uris":["http://zotero.org/users/14577776/items/27X5PEXA"],"itemData":{"id":2100,"type":"article-journal","abstract":"Abstract\n            \n              Plants in the genera\n              Astragalus\n              and\n              Oxytropis\n              , collectively referred to as “locoweeds,” contain swainsonine, a toxic alkaloid synthesized by their fungal endophyte\n              Alternaria\n              sect.\n              Undifilum\n              . The ecological role of this endophyte across the mutualism–commensalism–parasitism continuum is unknown. We examined the fitness traits of\n              Astragalus\n              and\n              Oxytropis\n              species growing with and without the endophyte, in a 9-yr, common-garden experiment. Silky crazyweed (\n              Oxytropis sericea\n              Nutt.) and woolly loco (\n              Astragalus mollissimus\n              Torr.) plants germinated from seeds that naturally host the endophyte (E+) and with it mechanically removed (E−) were established in a common garden in southwest Montana. We measured mortality, gas exchange, flower and seed production, seed germination, and final biomass\n              . Astragalus mollissimus\n              plants grew as annuals under common-garden conditions regardless of endophyte status.\n              Oxytropis sericea\n              plants grew as perennials with survival unaffected by endophyte; however, E+\n              O. sericea\n              plants produced slightly more reproductive stems, flowers per stem, and crown and stem biomass. Maternal effects detected in the parental generation disappeared in subsequent generations. Gas exchange, fecundity, and seed germination were unaffected by endophyte. Contrary to our initial hypothesis of mutualism, the endophyte did not improve host survival or fecundity, nor did we detect transgenerational effects. However, the endophyte did slightly increase the number of reproductive stems and flowers per stem and crown and stem mass in\n              O. sericea\n              , suggesting endophytic effects on carbohydrate biochemistry and pollination parameters should be examined. Lack of selection for or against endophyte-containing plants allows both nontoxic and toxic swainsonine-producing plants to persist in\n              Astragalus\n              and\n              Oxytropis\n              populations, posing a continued threat to grazing livestock.","container-title":"Weed Science","DOI":"10.1017/wsc.2025.10026","ISSN":"0043-1745, 1550-2759","issue":"1","journalAbbreviation":"Weed Sci","language":"en","page":"e55","source":"DOI.org (Crossref)","title":"The locoweed–endophyte complex as commensalism: a multigenerational study","title-short":"The locoweed–endophyte complex as commensalism","URL":"https://www.cambridge.org/core/product/identifier/S004317452510026X/type/journal_article","volume":"73","author":[{"family":"Keith","given":"Barbara"},{"family":"Ahortor","given":"Mcbeth"},{"family":"Linse","given":"Greta"},{"family":"Greenwood","given":"Mark"},{"family":"Ward","given":"Sarah"},{"family":"Cook","given":"Daniel"},{"family":"Sterling","given":"Tracy M."}],"accessed":{"date-parts":[["2025",12,10]]},"issued":{"date-parts":[["2025"]]}}}],"schema":"https://github.com/citation-style-language/schema/raw/master/csl-citation.json"} </w:instrText>
      </w:r>
      <w:r w:rsidR="00683BB9">
        <w:fldChar w:fldCharType="separate"/>
      </w:r>
      <w:r w:rsidR="00211605">
        <w:rPr>
          <w:noProof/>
        </w:rPr>
        <w:t>(Vallotton et al. 2012; Harrison et al. 2021; Keith et al. 2025)</w:t>
      </w:r>
      <w:r w:rsidR="00683BB9">
        <w:fldChar w:fldCharType="end"/>
      </w:r>
      <w:r w:rsidR="00AE4E35">
        <w:t>.</w:t>
      </w:r>
      <w:r w:rsidR="00E87082">
        <w:t xml:space="preserve"> While E+ plants received modestly more pollinator visits in one of </w:t>
      </w:r>
      <w:r w:rsidR="00E87082">
        <w:lastRenderedPageBreak/>
        <w:t xml:space="preserve">the two study years (2024), this increase occurred without corresponding change in floral chemistry or nectar rewards, suggesting year-specific microsite or phenological effects rather than endophyte-mediated attraction. </w:t>
      </w:r>
      <w:r w:rsidR="00491D26" w:rsidRPr="00491D26">
        <w:t xml:space="preserve">Although we detected no endophyte‑mediated differences in VOC composition or pollinator visitation, it remains possible that pollinators exhibit cryptic antennal responses to subtle chemical cues. Resolving such fine‑scale perceptual differences would require GC‑EAD or similar electrophysiological assays. </w:t>
      </w:r>
      <w:r w:rsidR="00C04B3F">
        <w:t xml:space="preserve">Reproduction was similarly unaffected: </w:t>
      </w:r>
      <w:r w:rsidR="00C04B3F">
        <w:rPr>
          <w:i/>
          <w:iCs/>
        </w:rPr>
        <w:t>O. sericea</w:t>
      </w:r>
      <w:r w:rsidR="00C04B3F">
        <w:t xml:space="preserve"> requires obligate </w:t>
      </w:r>
      <w:r w:rsidR="004A6692">
        <w:t>outcrossing yet</w:t>
      </w:r>
      <w:r w:rsidR="00680885">
        <w:t xml:space="preserve"> seed set per scape was identi</w:t>
      </w:r>
      <w:r w:rsidR="00C814B8">
        <w:t>cal between E+ and E- plants, confirming that endophyte presence neither enhances nor impairs plant fitness.</w:t>
      </w:r>
    </w:p>
    <w:p w14:paraId="639EB410" w14:textId="5F881513" w:rsidR="00AE4E35" w:rsidRDefault="00AE4E35" w:rsidP="00C33494">
      <w:r>
        <w:tab/>
        <w:t xml:space="preserve">The absence of endophyte effects is particularly striking given the metabolic investment required for swainsonine production </w:t>
      </w:r>
      <w:r w:rsidR="001333A3">
        <w:fldChar w:fldCharType="begin"/>
      </w:r>
      <w:r w:rsidR="001333A3">
        <w:instrText xml:space="preserve"> ADDIN ZOTERO_ITEM CSL_CITATION {"citationID":"mAH9lWFa","properties":{"formattedCitation":"(Tan et al. 2018; Luo et al. 2020)","plainCitation":"(Tan et al. 2018; Luo et al. 2020)","noteIndex":0},"citationItems":[{"id":2113,"uris":["http://zotero.org/users/14577776/items/9KEWC8TX"],"itemData":{"id":2113,"type":"article-journal","container-title":"Chinese Chemical Letters","DOI":"10.1016/j.cclet.2017.08.040","ISSN":"10018417","issue":"3","journalAbbreviation":"Chinese Chemical Letters","language":"en","page":"417-422","source":"DOI.org (Crossref)","title":"Advance of swainsonine biosynthesis","URL":"https://linkinghub.elsevier.com/retrieve/pii/S1001841717303248","volume":"29","author":[{"family":"Tan","given":"Xiang-mei"},{"family":"Chen","given":"Amanda Juan"},{"family":"Wu","given":"Bin"},{"family":"Zhang","given":"Gui-Shan"},{"family":"Ding","given":"Gang"}],"accessed":{"date-parts":[["2025",12,11]]},"issued":{"date-parts":[["2018",3]]}}},{"id":2114,"uris":["http://zotero.org/users/14577776/items/W4C533YL"],"itemData":{"id":2114,"type":"article-journal","container-title":"ACS Chemical Biology","DOI":"10.1021/acschembio.0c00466","ISSN":"1554-8929, 1554-8937","issue":"9","journalAbbreviation":"ACS Chem. Biol.","language":"en","license":"https://doi.org/10.15223/policy-029","page":"2476-2484","source":"DOI.org (Crossref)","title":"Unveiling of Swainsonine Biosynthesis via a Multibranched Pathway in Fungi","URL":"https://pubs.acs.org/doi/10.1021/acschembio.0c00466","volume":"15","author":[{"family":"Luo","given":"Feifei"},{"family":"Hong","given":"Song"},{"family":"Chen","given":"Bo"},{"family":"Yin","given":"Ying"},{"family":"Tang","given":"Guirong"},{"family":"Hu","given":"Fenglin"},{"family":"Zhang","given":"Huizhan"},{"family":"Wang","given":"Chengshu"}],"accessed":{"date-parts":[["2025",12,11]]},"issued":{"date-parts":[["2020",9,18]]}}}],"schema":"https://github.com/citation-style-language/schema/raw/master/csl-citation.json"} </w:instrText>
      </w:r>
      <w:r w:rsidR="001333A3">
        <w:fldChar w:fldCharType="separate"/>
      </w:r>
      <w:r w:rsidR="001333A3">
        <w:rPr>
          <w:noProof/>
        </w:rPr>
        <w:t>(Tan et al. 2018; Luo et al. 2020)</w:t>
      </w:r>
      <w:r w:rsidR="001333A3">
        <w:fldChar w:fldCharType="end"/>
      </w:r>
      <w:r w:rsidR="006D584D">
        <w:t xml:space="preserve">, and the plant necessarily provisions nitrogen to support fungal metabolism </w:t>
      </w:r>
      <w:r w:rsidR="00CA3CA4">
        <w:fldChar w:fldCharType="begin"/>
      </w:r>
      <w:r w:rsidR="00AB615D">
        <w:instrText xml:space="preserve"> ADDIN ZOTERO_ITEM CSL_CITATION {"citationID":"JFXyiYCm","properties":{"formattedCitation":"(Delaney et al. 2011; Reyna et al. 2012)","plainCitation":"(Delaney et al. 2011; Reyna et al. 2012)","noteIndex":0},"citationItems":[{"id":2092,"uris":["http://zotero.org/users/14577776/items/8UWGCLF4"],"itemData":{"id":2092,"type":"article-journal","abstract":"•\n              Premise of the Study:\n              Plant communities may be influenced by toxic secondary metabolites or enhanced plant growth from plant–symbiont interactions. The C:N hypothesis predicts that carbon or nitrogen constrains plant secondary metabolite production, but it does not consider compounds produced by plant symbionts. Locoweeds are legumes that can have fungal endophyte alkaloid (swainsonine [SWA]) production, which causes livestock poisoning. We studied four locoweed taxa to test whether average SWA concentrations influenced SWA positive dose responses to N fertilizer.\n            \n            \n              •\n              Methods:\n              We measured locoweed leaf SWA, pigment concentrations and photosynthetic activity, and plant biomass dose responses to N supplementation for 3 mo in two greenhouse experiments.\n            \n            \n              •\n              Key Results:\n              Leaf photosynthesis, leaf pigment concentrations, and plant biomass had positive, unsaturated dose responses across tested N doses. Although N enhanced primary growth, two moderate‐SWA taxa (\n              Astragalus mollissimus\n              var.\n              bigelovii\n              and\n              Oxytropis sericea\n              ) had negative SWA dose responses to increasing N, the high‐SWA taxon (\n              A. moll\n              . var.\n              mollissimus\n              ) had no SWA change, and the very low‐SWA taxon (\n              A. moll\n              . var.\n              matthewsii\n              ) had a transient positive dose response.\n            \n            \n              •\n              Conclusions:\n              Supplemented N led to positive dose responses for plant biomass and leaf photosynthesis and pigments, but SWA dose responses differed across locoweed taxa and time. At N levels that enhanced plant growth and reduced antioxidant protective systems, fungal endophyte alkaloid production was not strongly influenced. Production of SWA may be more strongly influenced by factors other than C:N supply (e.g., seasonality, plant age) in the locoweed–endophyte–\n              Rhizobium\n              complex.","container-title":"American Journal of Botany","DOI":"10.3732/ajb.1100133","ISSN":"0002-9122, 1537-2197","issue":"12","journalAbbreviation":"American J of Botany","language":"en","license":"http://onlinelibrary.wiley.com/termsAndConditions#vor","page":"1956-1965","source":"DOI.org (Crossref)","title":"Locoweed dose responses to nitrogen: Positive for biomass and primary physiology, but inconsistent for an alkaloid","title-short":"Locoweed dose responses to nitrogen","URL":"https://bsapubs.onlinelibrary.wiley.com/doi/10.3732/ajb.1100133","volume":"98","author":[{"family":"Delaney","given":"Kevin J."},{"family":"Klypina","given":"Nina"},{"family":"Maruthavanan","given":"Janakiraman"},{"family":"Lange","given":"Carol"},{"family":"Sterling","given":"Tracy M."}],"accessed":{"date-parts":[["2025",12,10]]},"issued":{"date-parts":[["2011",12]]}}},{"id":2115,"uris":["http://zotero.org/users/14577776/items/ZIYQIK42"],"itemData":{"id":2115,"type":"article-journal","abstract":"Poisoning of livestock owing to grazing on locoweeds results in significant economic losses in the western United States. Some Oxytropis spp. locoweeds contain a seed-transmitted endophytic fungus, Undifilum oxytropis, which produces the toxic alkaloid swainsonine. We sought to localize and characterize growth patterns of the fungus within leaves and petioles of Oxytropis lambertii Pursh and Oxytropis sericea Nutt. to help define the types of interactions between the fungus and its hosts. Vegetative hyphae were observed within locoweed tissues using integrated imaging. Topographical images from scanning electron microscopy revealed the presence of the endophyte in the pith tissue of petioles. The fungus was identified between plant cells but did not appear to penetrate host cells. Transmission electron microscopy images of thin sections revealed that hyphae were closely associated with host cell walls. Oxytropis sericea was innoculated with green fluorescent protein-transformed U. oxytropis and observed by confocal microscopy, confirming the presence of the endophyte hyphae in leaves and petioles. The fungus was identified only in the pith of petioles using fluorescence and in the vascular bundle throughout extracellular spaces in leaves. These results revealed no signs of a pathogenic interaction between plant and fungus and support the hypothesis of a mutualistic or commensal relationship.","container-title":"Botany","DOI":"10.1139/b2012-092","ISSN":"1916-2790, 1916-2804","issue":"12","journalAbbreviation":"Botany","language":"en","license":"http://www.nrcresearchpress.com/page/about/CorporateTextAndDataMining","page":"1229-1236","source":"DOI.org (Crossref)","title":"Detection and localization of the endophyte &lt;i&gt;Undifilum oxytropis&lt;/i&gt; in locoweed tissues","URL":"http://www.nrcresearchpress.com/doi/10.1139/b2012-092","volume":"90","author":[{"family":"Reyna","given":"Roxanna"},{"family":"Cooke","given":"Peter"},{"family":"Grum","given":"Daniel"},{"family":"Cook","given":"Daniel"},{"family":"Creamer","given":"Rebecca"}],"accessed":{"date-parts":[["2025",12,11]]},"issued":{"date-parts":[["2012",12]]}}}],"schema":"https://github.com/citation-style-language/schema/raw/master/csl-citation.json"} </w:instrText>
      </w:r>
      <w:r w:rsidR="00CA3CA4">
        <w:fldChar w:fldCharType="separate"/>
      </w:r>
      <w:r w:rsidR="00AB615D">
        <w:rPr>
          <w:noProof/>
        </w:rPr>
        <w:t>(Delaney et al. 2011; Reyna et al. 2012)</w:t>
      </w:r>
      <w:r w:rsidR="00CA3CA4">
        <w:fldChar w:fldCharType="end"/>
      </w:r>
      <w:r w:rsidR="00AB615D">
        <w:t xml:space="preserve">. Despite this apparent cost, we found no compensatory benefits: pollinator visitation, nectar rewards, seed set, and volatile profiles were indistinguishable between E+ and E- plants across multiple years and environmental contexts. </w:t>
      </w:r>
      <w:r w:rsidR="00996CF5">
        <w:t xml:space="preserve">Critically, the strong environmental signal in our data suggests that endophyte effects, if they exist at all, may be context-dependent rather than constitutive, manifesting only under specific stressors we did not test. </w:t>
      </w:r>
    </w:p>
    <w:p w14:paraId="1238E470" w14:textId="3807A520" w:rsidR="00B82001" w:rsidRPr="00E71A3A" w:rsidRDefault="00AB615D" w:rsidP="00207FFB">
      <w:r>
        <w:tab/>
        <w:t>This neutrality contrasts sharply with defensive alkaloid systems in other plant families</w:t>
      </w:r>
      <w:r w:rsidR="00033580">
        <w:t xml:space="preserve"> where tissue localization serves clear defensive functions.</w:t>
      </w:r>
      <w:r>
        <w:t xml:space="preserve"> </w:t>
      </w:r>
      <w:r w:rsidR="00332DAA">
        <w:t>N</w:t>
      </w:r>
      <w:r w:rsidR="00C33494">
        <w:t xml:space="preserve">icotine in </w:t>
      </w:r>
      <w:proofErr w:type="spellStart"/>
      <w:r w:rsidR="00C33494" w:rsidRPr="00C33494">
        <w:rPr>
          <w:i/>
          <w:iCs/>
        </w:rPr>
        <w:t>Nicotinia</w:t>
      </w:r>
      <w:proofErr w:type="spellEnd"/>
      <w:r w:rsidR="00C33494">
        <w:t xml:space="preserve"> spp. concentrates in leaves and floral calyces to deter herbivory while sparing nectar </w:t>
      </w:r>
      <w:r w:rsidR="00C33494">
        <w:fldChar w:fldCharType="begin"/>
      </w:r>
      <w:r w:rsidR="00C33494">
        <w:instrText xml:space="preserve"> ADDIN ZOTERO_ITEM CSL_CITATION {"citationID":"raJp7yzB","properties":{"formattedCitation":"(Kessler et al. 2012; Adler et al. 2012)","plainCitation":"(Kessler et al. 2012; Adler et al. 2012)","noteIndex":0},"citationItems":[{"id":2089,"uris":["http://zotero.org/users/14577776/items/I9FJ2662"],"itemData":{"id":2089,"type":"article-journal","abstract":"Summary\n            \n              Many plants use sophisticated strategies to maximize their reproductive success via outcrossing.\n              Nicotiana attenuata\n              flowers produce nectar with nicotine at concentrations that are repellent to hummingbirds, increasing the number of flowers visited per plant. In choice tests using native hummingbirds, we show that these important pollinators learn to tolerate high‐nicotine nectar but prefer low‐nicotine nectar, and show no signs of nicotine addiction. Nectar nicotine concentrations, unlike those of other vegetative tissues, are unpredictably variable among flowers, not only among populations, but also within populations, and even among flowers within an inflorescence. To evaluate whether variations in nectar nicotine concentrations increase outcrossing, polymorphic microsatellite markers, optimized to evaluate paternity in native\n              N. attenuata\n              populations, were used to compare outcrossing in plants silenced for expression of a biosynthetic gene for nicotine production (\n              Napmt1/2\n              ) and in control empty vector plants, which were antherectomized and transplanted into native populations. When only exposed to hummingbird pollinators, seeds produced by flowers with nicotine in their nectar had a greater number of genetically different sires, compared to seeds from nicotine‐free flowers. As the variation in nectar nicotine levels among flowers in an inflorescence decreased in\n              N. attenuata\n              plants silenced in various combinations of three Dicer‐like (DCL) proteins, small RNAs are probably involved in the unpredictable variation in nectar nicotine levels within a plant.","container-title":"The Plant Journal","DOI":"10.1111/j.1365-313X.2012.05008.x","ISSN":"0960-7412, 1365-313X","issue":"4","journalAbbreviation":"The Plant Journal","language":"en","page":"529-538","source":"DOI.org (Crossref)","title":"Unpredictability of nectar nicotine promotes outcrossing by hummingbirds in &lt;i&gt;Nicotiana attenuata&lt;/i&gt;","URL":"https://onlinelibrary.wiley.com/doi/10.1111/j.1365-313X.2012.05008.x","volume":"71","author":[{"family":"Kessler","given":"Danny"},{"family":"Bhattacharya","given":"Samik"},{"family":"Diezel","given":"Celia"},{"family":"Rothe","given":"Eva"},{"family":"Gase","given":"Klaus"},{"family":"Schöttner","given":"Matthias"},{"family":"Baldwin","given":"Ian T."}],"accessed":{"date-parts":[["2025",11,11]]},"issued":{"date-parts":[["2012",8]]}}},{"id":2090,"uris":["http://zotero.org/users/14577776/items/BKDZJXPZ"],"itemData":{"id":2090,"type":"article-journal","abstract":"Abstract\n            \n              Defensive traits are typically studied in the context of avoiding antagonists, but may also mediate key interactions with mutualists. Plant chemical defences occur in flowers, suggesting pollinators may be agents of selection on defence. We hypothesised that floral defences would deter pollinators, and therefore, pollinators would select for lower defences in outcrossing than self‐pollinating species. We measured pollinator reliance and alkaloid levels in 32 greenhouse‐grown\n              Nicotiana\n              species. Using a comparative phylogenetic approach, we found significantly lower nectar, floral and leaf nicotine concentrations in outcrossing than selfing species, with a 15‐fold decrease in leaf nicotine levels. Nicotine concentrations were positively correlated across tissues, suggesting that selection against floral defences could constrain the evolution of leaf defences. Thus, pollinators could shape the evolution not only of floral defences but also of defences in other tissues where herbivores have traditionally been considered the dominant agent of selection.","container-title":"Ecology Letters","DOI":"10.1111/j.1461-0248.2012.01838.x","ISSN":"1461-023X, 1461-0248","issue":"10","journalAbbreviation":"Ecology Letters","language":"en","page":"1140-1148","source":"DOI.org (Crossref)","title":"Reliance on pollinators predicts defensive chemistry across tobacco species","URL":"https://onlinelibrary.wiley.com/doi/10.1111/j.1461-0248.2012.01838.x","volume":"15","author":[{"family":"Adler","given":"Lynn S."},{"family":"Seifert","given":"Megan G."},{"family":"Wink","given":"Michael"},{"family":"Morse","given":"Geoffrey E."}],"editor":[{"family":"Turlings","given":"Ted"}],"accessed":{"date-parts":[["2025",11,11]]},"issued":{"date-parts":[["2012",10]]}}}],"schema":"https://github.com/citation-style-language/schema/raw/master/csl-citation.json"} </w:instrText>
      </w:r>
      <w:r w:rsidR="00C33494">
        <w:fldChar w:fldCharType="separate"/>
      </w:r>
      <w:r w:rsidR="00C33494">
        <w:rPr>
          <w:noProof/>
        </w:rPr>
        <w:t>(Kessler et al. 2012; Adler et al. 2012)</w:t>
      </w:r>
      <w:r w:rsidR="00C33494">
        <w:fldChar w:fldCharType="end"/>
      </w:r>
      <w:r w:rsidR="00C33494">
        <w:t>, and quinolizidine alkaloids in lupines (</w:t>
      </w:r>
      <w:r w:rsidR="00C33494" w:rsidRPr="0000203F">
        <w:rPr>
          <w:i/>
          <w:iCs/>
        </w:rPr>
        <w:t>Lupinus</w:t>
      </w:r>
      <w:r w:rsidR="00C33494">
        <w:t xml:space="preserve"> spp.) </w:t>
      </w:r>
      <w:r w:rsidR="00FB68B9">
        <w:t>reduce specialist herbivore feeding rates while being partitioned to protect seeds and vegetative tissues</w:t>
      </w:r>
      <w:r w:rsidR="00F129AD">
        <w:t xml:space="preserve"> </w:t>
      </w:r>
      <w:r w:rsidR="00C33494">
        <w:fldChar w:fldCharType="begin"/>
      </w:r>
      <w:r w:rsidR="00C33494">
        <w:instrText xml:space="preserve"> ADDIN ZOTERO_ITEM CSL_CITATION {"citationID":"FDd6hNPa","properties":{"formattedCitation":"(Lee et al. 2007; Otterbach et al. 2019)","plainCitation":"(Lee et al. 2007; Otterbach et al. 2019)","noteIndex":0},"citationItems":[{"id":2087,"uris":["http://zotero.org/users/14577776/items/AKG4L22K"],"itemData":{"id":2087,"type":"article-journal","container-title":"Journal of Experimental Botany","DOI":"10.1093/jxb/erl254","ISSN":"0022-0957, 1460-2431","issue":"5","journalAbbreviation":"Journal of Experimental Botany","language":"en","page":"935-946","source":"DOI.org (Crossref)","title":"Synthesis, transport and accumulation of quinolizidine alkaloids in &lt;i&gt;Lupinus albus&lt;/i&gt; L. and &lt;i&gt;L. angustifolius&lt;/i&gt; L.","URL":"https://academic.oup.com/jxb/article-lookup/doi/10.1093/jxb/erl254","volume":"58","author":[{"family":"Lee","given":"M. J."},{"family":"Pate","given":"J. S."},{"family":"Harris","given":"D. J."},{"family":"Atkins","given":"C. A."}],"accessed":{"date-parts":[["2025",11,11]]},"issued":{"date-parts":[["2007",1,13]]}}},{"id":2085,"uris":["http://zotero.org/users/14577776/items/9XNF8YQ4"],"itemData":{"id":2085,"type":"article-journal","abstract":"Toxic quinolizidine alkaloids in bitter narrow-leafed lupin seeds are not produced in the seeds but are transported to them, opening the possibility of transport engineering to improve lupin varieties.","container-title":"Journal of Experimental Botany","DOI":"10.1093/jxb/erz334","ISSN":"0022-0957, 1460-2431","issue":"20","language":"en","license":"http://creativecommons.org/licenses/by-nc/4.0/","page":"5799-5808","source":"DOI.org (Crossref)","title":"Quinolizidine alkaloids are transported to seeds of bitter narrow-leafed lupin","URL":"https://academic.oup.com/jxb/article/70/20/5799/5536687","volume":"70","author":[{"family":"Otterbach","given":"Sophie Lisa"},{"family":"Yang","given":"Ting"},{"family":"Kato","given":"Lucilia"},{"family":"Janfelt","given":"Christian"},{"family":"Geu-Flores","given":"Fernando"}],"editor":[{"family":"Hancock","given":"Robert"}],"accessed":{"date-parts":[["2025",11,11]]},"issued":{"date-parts":[["2019",10,24]]}}}],"schema":"https://github.com/citation-style-language/schema/raw/master/csl-citation.json"} </w:instrText>
      </w:r>
      <w:r w:rsidR="00C33494">
        <w:fldChar w:fldCharType="separate"/>
      </w:r>
      <w:r w:rsidR="00C33494">
        <w:rPr>
          <w:noProof/>
        </w:rPr>
        <w:t>(Lee et al. 2007; Otterbach et al. 2019)</w:t>
      </w:r>
      <w:r w:rsidR="00C33494">
        <w:fldChar w:fldCharType="end"/>
      </w:r>
      <w:r w:rsidR="00C33494">
        <w:t>.</w:t>
      </w:r>
      <w:r w:rsidR="00F129AD">
        <w:t xml:space="preserve"> In contrast, swainsonine provides </w:t>
      </w:r>
      <w:r w:rsidR="00AA7B47">
        <w:t xml:space="preserve">no protection against specialist herbivores and appears to poison livestock incidentally rather than adaptively. The tissue </w:t>
      </w:r>
      <w:r w:rsidR="00AA7B47">
        <w:lastRenderedPageBreak/>
        <w:t xml:space="preserve">localization we observed – concentrated in calyces (0.172% dry mass) while virtually absent from nectar (&lt;0.0005%) – </w:t>
      </w:r>
      <w:r w:rsidR="00ED3522">
        <w:t>likely reflects the physical distribution of fungal hyphae within repro</w:t>
      </w:r>
      <w:r w:rsidR="00E71A3A">
        <w:t>ductive</w:t>
      </w:r>
      <w:r w:rsidR="006A110D">
        <w:t xml:space="preserve"> tissues</w:t>
      </w:r>
      <w:r w:rsidR="00211605">
        <w:t xml:space="preserve"> </w:t>
      </w:r>
      <w:r w:rsidR="00211605">
        <w:fldChar w:fldCharType="begin"/>
      </w:r>
      <w:r w:rsidR="00317E6F">
        <w:instrText xml:space="preserve"> ADDIN ZOTERO_ITEM CSL_CITATION {"citationID":"Qa90MzyX","properties":{"formattedCitation":"(Noor et al. 2018)","plainCitation":"(Noor et al. 2018)","noteIndex":0},"citationItems":[{"id":2099,"uris":["http://zotero.org/users/14577776/items/6TBT2IZE"],"itemData":{"id":2099,"type":"article-journal","abstract":"Locoweeds are legumes of the Astragalus and Oxytropis genera that live symbiotically with the fungal endosymbionts belonging to Alternaria section Undifilum. These endophytes produce the toxin swainsonine, which causes a neurological syndrome (locosim) when the plant is ingested by grazing animals. Here we characterize the growth of the endophytes within plant tissues using confocal and scanning electron microscopy (SEM) to define the physical relationship. Microscopy results revealed the endophyte distribution to be densely networked, with the mycelia aligned parallel to the long axis of the plant stem and with no pathology to plant cell walls, xylem, or phloem. The autofluorescent mycelia were located intercellulary in the pith of stems. Stereofluoroscope observations of Alternaria oxytropis, A. cinerea, and A. fulva in phytoagar showed that mycelial growth occurred at the tip of hyphae. The growth rate of A. cinerea was significantly faster than for A. oxytropis or A. fulva. All three species of endophytes grew significantly faster at 3 days age of culture and grew slowly or not at all after 20 or 30 days. Analyses of the growth of these fungi support the hypothesis that there is a nonpathogenic symbiosis between the fungal endophytes and their host plants.","container-title":"Botany","DOI":"10.1139/cjb-2017-0117","ISSN":"1916-2790, 1916-2804","issue":"3","journalAbbreviation":"Botany","language":"en","page":"187-200","source":"DOI.org (Crossref)","title":"Evidence for nonpathogenic relationships of &lt;i&gt;Alternaria&lt;/i&gt; section &lt;i&gt;Undifilum&lt;/i&gt; endophytes within three host locoweed plant species","URL":"https://cdnsciencepub.com/doi/10.1139/cjb-2017-0117","volume":"96","author":[{"family":"Noor","given":"Aziza Ibrahim"},{"family":"Nava","given":"Amy"},{"family":"Cooke","given":"Peter"},{"family":"Cook","given":"Daniel"},{"family":"Creamer","given":"Rebecca"}],"accessed":{"date-parts":[["2025",12,10]]},"issued":{"date-parts":[["2018",3]]}}}],"schema":"https://github.com/citation-style-language/schema/raw/master/csl-citation.json"} </w:instrText>
      </w:r>
      <w:r w:rsidR="00211605">
        <w:fldChar w:fldCharType="separate"/>
      </w:r>
      <w:r w:rsidR="00317E6F">
        <w:rPr>
          <w:noProof/>
        </w:rPr>
        <w:t>(Noor et al. 2018)</w:t>
      </w:r>
      <w:r w:rsidR="00211605">
        <w:fldChar w:fldCharType="end"/>
      </w:r>
      <w:r w:rsidR="00E71A3A">
        <w:t xml:space="preserve"> rather than an adaptive defensive strategy. </w:t>
      </w:r>
    </w:p>
    <w:p w14:paraId="05C6E3CB" w14:textId="54DE34BD" w:rsidR="00CC3249" w:rsidRPr="00CC3249" w:rsidRDefault="00CC3249" w:rsidP="0000203F"/>
    <w:p w14:paraId="15AE84D2" w14:textId="77777777" w:rsidR="0000203F" w:rsidRPr="00CD7FA1" w:rsidRDefault="0000203F" w:rsidP="0000203F">
      <w:pPr>
        <w:rPr>
          <w:b/>
          <w:bCs/>
        </w:rPr>
      </w:pPr>
      <w:bookmarkStart w:id="1" w:name="_Hlk226020073"/>
      <w:r w:rsidRPr="00CD7FA1">
        <w:rPr>
          <w:b/>
          <w:bCs/>
        </w:rPr>
        <w:t>Comparative and Evolutionary Implications</w:t>
      </w:r>
    </w:p>
    <w:p w14:paraId="0DF5F79C" w14:textId="7DB53789" w:rsidR="00B82001" w:rsidRDefault="00EA5893" w:rsidP="00CD7FA1">
      <w:pPr>
        <w:ind w:firstLine="720"/>
      </w:pPr>
      <w:r>
        <w:t>The absence of endophyte-driven shifts in VOC composition contrasts with grass-</w:t>
      </w:r>
      <w:r w:rsidRPr="343A3B7A">
        <w:rPr>
          <w:i/>
          <w:iCs/>
        </w:rPr>
        <w:t>Epichloë</w:t>
      </w:r>
      <w:r>
        <w:t xml:space="preserve"> mutualisms, where fungal partners often modify host terpenoid outputs under stress </w:t>
      </w:r>
      <w:r>
        <w:fldChar w:fldCharType="begin"/>
      </w:r>
      <w:r>
        <w:instrText xml:space="preserve"> ADDIN ZOTERO_ITEM CSL_CITATION {"citationID":"549NGcp3","properties":{"formattedCitation":"(Wang et al. 2020; Realini et al. 2024)","plainCitation":"(Wang et al. 2020; Realini et al. 2024)","noteIndex":0},"citationItems":[{"id":1639,"uris":["http://zotero.org/users/14577776/items/IKFGF2RI"],"itemData":{"id":1639,"type":"article-journal","container-title":"Journal of Agricultural and Food Chemistry","DOI":"10.1021/acs.jafc.0c01396","ISSN":"0021-8561, 1520-5118","issue":"26","journalAbbreviation":"J. Agric. Food Chem.","language":"en","license":"https://doi.org/10.15223/policy-029","page":"6944-6955","source":"DOI.org (Crossref)","title":"Role of &lt;i&gt;Epichloë&lt;/i&gt; Endophytes in Improving Host Grass Resistance Ability and Soil Properties","URL":"https://pubs.acs.org/doi/10.1021/acs.jafc.0c01396","volume":"68","author":[{"family":"Wang","given":"Jianfeng"},{"family":"Hou","given":"Wenpeng"},{"family":"Christensen","given":"Michael J."},{"family":"Li","given":"Xiuzhang"},{"family":"Xia","given":"Chao"},{"family":"Li","given":"Chunjie"},{"family":"Nan","given":"Zhibiao"}],"accessed":{"date-parts":[["2025",9,19]]},"issued":{"date-parts":[["2020",7,1]]}}},{"id":1640,"uris":["http://zotero.org/users/14577776/items/KVIZKPP8"],"itemData":{"id":1640,"type":"article-journal","abstract":"Abstract\n            \n              Background and Aims\n              In the subfamily Poöideae (Poaceae), certain grass species possess anti-herbivore alkaloids synthesized by fungal endophytes that belong to the genus Epichloë (Clavicipitaceae). The protective role of these symbiotic endophytes can vary, depending on alkaloid concentrations within specific plant–endophyte associations and plant parts.\n            \n            \n              Methods\n              We conducted a literature review to identify articles containing alkaloid concentration data for various plant parts in six important pasture species, Lolium arundinaceum, Lolium perenne, Lolium pratense, Lolium multiflorum|Lolium rigidum and Festuca rubra, associated with their common endophytes. We considered the alkaloids lolines (1-aminopyrrolizidines), peramine (pyrrolopyrazines), ergovaline (ergot alkaloids) and lolitrem B (indole-diterpenes). While all these alkaloids have shown bioactivity against insect herbivores, ergovaline and lolitrem B are harmful for mammals.\n            \n            \n              Key Results\n              Loline alkaloid levels were higher in the perennial grasses L. pratense and L. arundinaceum compared to the annual species L. multiflorum and L. rigidum, and higher in reproductive tissues than in vegetative structures. This is probably due to the greater biomass accumulation in perennial species that can result in higher endophyte mycelial biomass. Peramine concentrations were higher in L. perenne than in L. arundinaceum and not affected by plant part. This can be attributed to the high within-plant mobility of peramine. Ergovaline and lolitrem B, both hydrophobic compounds, were associated with plant parts where fungal mycelium is usually present, and their concentrations were higher in plant reproductive tissues. Only loline alkaloid data were sufficient for below-ground tissue analyses and concentrations were lower than in above-ground parts.\n            \n            \n              Conclusions\n              Our study provides a comprehensive synthesis of fungal alkaloid variation across host grasses and plant parts, essential for understanding the endophyte-conferred defence extent. The patterns can be understood by considering endophyte growth within the plant and alkaloid mobility. Our study identifies research gaps, including the limited documentation of alkaloid presence in roots and the need to investigate the influence of different environmental conditions.","container-title":"Annals of Botany","DOI":"10.1093/aob/mcae014","ISSN":"0305-7364, 1095-8290","issue":"4","language":"en","license":"https://academic.oup.com/pages/standard-publication-reuse-rights","page":"509-520","source":"DOI.org (Crossref)","title":"Anti-herbivory defences delivered by &lt;i&gt;Epichloë&lt;/i&gt; fungal endophytes: a quantitative review of alkaloid concentration variation among hosts and plant parts","title-short":"Anti-herbivory defences delivered by &lt;i&gt;Epichloë&lt;/i&gt; fungal endophytes","URL":"https://academic.oup.com/aob/article/133/4/509/7602102","volume":"133","author":[{"family":"Realini","given":"Florencia M"},{"family":"Escobedo","given":"Víctor M"},{"family":"Ueno","given":"Andrea C"},{"family":"Bastías","given":"Daniel A"},{"family":"Schardl","given":"Christopher L"},{"family":"Biganzoli","given":"Fernando"},{"family":"Gundel","given":"Pedro E"}],"accessed":{"date-parts":[["2025",9,19]]},"issued":{"date-parts":[["2024",4,23]]}}}],"schema":"https://github.com/citation-style-language/schema/raw/master/csl-citation.json"} </w:instrText>
      </w:r>
      <w:r>
        <w:fldChar w:fldCharType="separate"/>
      </w:r>
      <w:r w:rsidRPr="343A3B7A">
        <w:rPr>
          <w:noProof/>
        </w:rPr>
        <w:t>(Wang et al. 2020; Realini et al. 2024)</w:t>
      </w:r>
      <w:r>
        <w:fldChar w:fldCharType="end"/>
      </w:r>
      <w:r>
        <w:t>.  This pattern diverges from endophyte-mediated systems such as peppermint (</w:t>
      </w:r>
      <w:r w:rsidRPr="343A3B7A">
        <w:rPr>
          <w:i/>
          <w:iCs/>
        </w:rPr>
        <w:t>Mentha</w:t>
      </w:r>
      <w:r>
        <w:t xml:space="preserve"> </w:t>
      </w:r>
      <w:r w:rsidRPr="343A3B7A">
        <w:rPr>
          <w:i/>
          <w:iCs/>
        </w:rPr>
        <w:t>x</w:t>
      </w:r>
      <w:r>
        <w:t xml:space="preserve"> </w:t>
      </w:r>
      <w:r w:rsidRPr="343A3B7A">
        <w:rPr>
          <w:i/>
          <w:iCs/>
        </w:rPr>
        <w:t>piperita</w:t>
      </w:r>
      <w:r>
        <w:t xml:space="preserve">) in which endophyte infection increases overall volatile emission rates </w:t>
      </w:r>
      <w:r>
        <w:fldChar w:fldCharType="begin"/>
      </w:r>
      <w:r>
        <w:instrText xml:space="preserve"> ADDIN ZOTERO_ITEM CSL_CITATION {"citationID":"JWDtIixs","properties":{"formattedCitation":"(Mucciarelli et al. 2007)","plainCitation":"(Mucciarelli et al. 2007)","noteIndex":0},"citationItems":[{"id":1298,"uris":["http://zotero.org/users/14577776/items/3FI4HHZC"],"itemData":{"id":1298,"type":"article-journal","container-title":"Microbial Ecology","DOI":"10.1007/s00248-007-9227-0","ISSN":"0095-3628, 1432-184X","issue":"4","journalAbbreviation":"Microb Ecol","language":"en","license":"http://www.springer.com/tdm","page":"685-696","source":"DOI.org (Crossref)","title":"Volatile Terpenoids of Endophyte-free and Infected Peppermint (&lt;i&gt;Mentha piperita&lt;/i&gt; L.): Chemical Partitioning of a Symbiosis","title-short":"Volatile Terpenoids of Endophyte-free and Infected Peppermint (Mentha piperita L.)","URL":"http://link.springer.com/10.1007/s00248-007-9227-0","volume":"54","author":[{"family":"Mucciarelli","given":"Marco"},{"family":"Camusso","given":"Wanda"},{"family":"Maffei","given":"Massimo"},{"family":"Panicco","given":"Paola"},{"family":"Bicchi","given":"Carlo"}],"accessed":{"date-parts":[["2025",6,19]]},"issued":{"date-parts":[["2007",10,23]]}}}],"schema":"https://github.com/citation-style-language/schema/raw/master/csl-citation.json"} </w:instrText>
      </w:r>
      <w:r>
        <w:fldChar w:fldCharType="separate"/>
      </w:r>
      <w:r w:rsidRPr="343A3B7A">
        <w:rPr>
          <w:noProof/>
        </w:rPr>
        <w:t>(Mucciarelli et al. 2007)</w:t>
      </w:r>
      <w:r>
        <w:fldChar w:fldCharType="end"/>
      </w:r>
      <w:r>
        <w:t>.</w:t>
      </w:r>
      <w:r w:rsidR="00F96B4A">
        <w:t xml:space="preserve"> </w:t>
      </w:r>
      <w:r w:rsidR="00F96B4A" w:rsidRPr="00F96B4A">
        <w:t xml:space="preserve">The difference likely reflects the distinct trophic and spatial organization of the </w:t>
      </w:r>
      <w:r w:rsidR="00F96B4A" w:rsidRPr="00F96B4A">
        <w:rPr>
          <w:i/>
          <w:iCs/>
        </w:rPr>
        <w:t>Oxytropis</w:t>
      </w:r>
      <w:r w:rsidR="00F96B4A">
        <w:rPr>
          <w:i/>
          <w:iCs/>
        </w:rPr>
        <w:t>-</w:t>
      </w:r>
      <w:r w:rsidR="00F96B4A" w:rsidRPr="00F96B4A">
        <w:rPr>
          <w:i/>
          <w:iCs/>
        </w:rPr>
        <w:t>Undifilum</w:t>
      </w:r>
      <w:r w:rsidR="00F96B4A" w:rsidRPr="00F96B4A">
        <w:t xml:space="preserve"> symbiosis: </w:t>
      </w:r>
      <w:r w:rsidR="00F96B4A" w:rsidRPr="00F96B4A">
        <w:rPr>
          <w:i/>
          <w:iCs/>
        </w:rPr>
        <w:t>U. oxytropis</w:t>
      </w:r>
      <w:r w:rsidR="00F96B4A" w:rsidRPr="00F96B4A">
        <w:t xml:space="preserve"> resides intercellularly within</w:t>
      </w:r>
      <w:r w:rsidR="001206A0">
        <w:t xml:space="preserve"> leaves</w:t>
      </w:r>
      <w:r w:rsidR="00F96B4A" w:rsidRPr="00F96B4A">
        <w:t xml:space="preserve"> and reproductive tissues rather than the foliar glands responsible for monoterpene synthesis</w:t>
      </w:r>
      <w:r w:rsidR="0008358D">
        <w:t xml:space="preserve"> </w:t>
      </w:r>
      <w:r w:rsidR="00CD103B">
        <w:fldChar w:fldCharType="begin"/>
      </w:r>
      <w:r w:rsidR="0049019A">
        <w:instrText xml:space="preserve"> ADDIN ZOTERO_ITEM CSL_CITATION {"citationID":"awenkhBS","properties":{"formattedCitation":"(Pryor et al. 2009; Oldrup et al. 2010; Noor et al. 2018)","plainCitation":"(Pryor et al. 2009; Oldrup et al. 2010; Noor et al. 2018)","noteIndex":0},"citationItems":[{"id":1385,"uris":["http://zotero.org/users/14577776/items/PNMZZ3LF"],"itemData":{"id":1385,"type":"article-journal","abstract":"Fungal endophytes of Oxytropis kansuensis Bunge from China, previously described as Embellisia oxytropis Q. Wang, Nagao &amp; Kakish, and endophytes of Oxytropis sericea Nutt. and Oxytropis lambertii Pursh from the United States were compared and are reported here as conspecific members of a new genus in the Pleosporaceae, Undifilum, based on morphological and molecular analyses. Morphological comparisons revealed characters that are similar to those of the genus Embellisia including conidia ovate to obclavate to long ellipsoid, straight or slightly to decidedly inequilateral with occasionally one or two cells distinctly swollen, and transepta occasionally thickened, dark, and rigid in comparison with the exterior conidium wall. However, upon germination, conidia produced unique and diagnostic germ tubes that were wavy or undulating in their growth until branching. Moreover, all isolates were found to produce the toxic alkaloid swainsonine. Parsimony analysis of sequences from ITS1–5.8S–ITS2, glyceraldehyde-3-phosphate dehydrogenase gene, and mitochondrial small subunit rDNA data sets revealed that the Oxytropis endophytes formed a clade distinct from other Embellisia species and species in the genera Alternaria , Ulocladium , Nimbya , and Crivellia . A second taxon, Helminthosporium bornmuelleri P. Magnus, was reexamined and found to possess similar morphological features to those of the Oxytropis isolates, but lacked swainsonine production. Sequence analysis placed this second taxon in the same clade with high bootstrap support. The distinct morphology and genetics of these taxa demonstrates that these fungi, both recovered from legumes, represent a new genus, hereinafter described as Undifilum . The two species now placed in this genus are redescribed as Undifilium oxytropis and Undifilium bornmuelleri .","container-title":"Botany","DOI":"10.1139/b08-130","ISSN":"1916-2790, 1916-2804","issue":"2","language":"en","license":"http://www.nrcresearchpress.com/page/about/CorporateTextAndDataMining","page":"178-194","publisher":"Canadian Science Publishing","source":"Crossref","title":"&lt;i&gt;Undifilum&lt;/i&gt;, a new genus for endophytic &lt;i&gt;Embellisia oxytropis&lt;/i&gt; and parasitic &lt;i&gt;Helminthosporium bornmuelleri&lt;/i&gt; on legumes","URL":"http://www.nrcresearchpress.com/doi/10.1139/B08-130","volume":"87","author":[{"family":"Pryor","given":"B. M."},{"family":"Creamer","given":"R."},{"family":"Shoemaker","given":"R. A."},{"family":"McLain-Romero","given":"J."},{"family":"Hambleton","given":"S."}],"accessed":{"date-parts":[["2025",7,23]]},"issued":{"date-parts":[["2009",2]]}}},{"id":2091,"uris":["http://zotero.org/users/14577776/items/TEMP7YIM"],"itemData":{"id":2091,"type":"article-journal","abstract":"Endophytic Undifilum oxytropis (Q. Wang, Nagao &amp; Kakish) Pryor, Creamer, Shoemaker, McLain-Romero, &amp; Hambleton found within toxic locoweeds ( Astragalus and Oxytropis spp.) produces the alkaloid swainsonine, which is responsible for locoism in grazing animals. We sought to determine the location of U. oxytropis within locoweed seed, develop endophyte free plants, and assess the influence of environmental stresses on locoweed and endophyte cultures. Undifilum was identified within the parenchyma layers in seeds of Astragalus lentiginosus M.E. Jones using light microscopy and polymerase chain reaction. Astragalus lentiginosus and Oxytropis sericea Nutt. seedlings produced in embryo culture without seed coats did not contain swainsonine or fungus. Plants produced from whole seed contained U. oxytropis in both foliage and root tissues. When the in-vitro cultured plants of O. sericea and U. oxytropis cultures were subjected to environmental stresses including high temperature, low and high pH media, nutrient deficient media, and polyethylene glycol (PEG) amended media to simulate water deficit, both dry mass and swainsonine levels were affected. Swainsonine levels were greatest for O. sericea and Undifilum cultures in PEG or hydrochloric acid amended media. Plants grown in PEG-amended media had significantly greater dry mass, while Undifilum grown in PEG-amended media had lower dry mass than other treatments.","container-title":"Botany","DOI":"10.1139/B10-026","ISSN":"1916-2790, 1916-2804","issue":"5","journalAbbreviation":"Botany","language":"en","license":"http://www.nrcresearchpress.com/page/about/CorporateTextAndDataMining","page":"512-521","source":"DOI.org (Crossref)","title":"Localization of endophytic &lt;i&gt;Undifilum&lt;/i&gt; fungi in locoweed seed and influence of environmental parameters on a locoweed in vitro culture system","URL":"http://www.nrcresearchpress.com/doi/10.1139/B10-026","volume":"88","author":[{"family":"Oldrup","given":"Erik"},{"family":"McLain-Romero","given":"Jennifer"},{"family":"Padilla","given":"Anna"},{"family":"Moya","given":"Andrew"},{"family":"Gardner","given":"Dale"},{"family":"Creamer","given":"Rebecca"}],"accessed":{"date-parts":[["2025",11,11]]},"issued":{"date-parts":[["2010",5]]}}},{"id":2099,"uris":["http://zotero.org/users/14577776/items/6TBT2IZE"],"itemData":{"id":2099,"type":"article-journal","abstract":"Locoweeds are legumes of the Astragalus and Oxytropis genera that live symbiotically with the fungal endosymbionts belonging to Alternaria section Undifilum. These endophytes produce the toxin swainsonine, which causes a neurological syndrome (locosim) when the plant is ingested by grazing animals. Here we characterize the growth of the endophytes within plant tissues using confocal and scanning electron microscopy (SEM) to define the physical relationship. Microscopy results revealed the endophyte distribution to be densely networked, with the mycelia aligned parallel to the long axis of the plant stem and with no pathology to plant cell walls, xylem, or phloem. The autofluorescent mycelia were located intercellulary in the pith of stems. Stereofluoroscope observations of Alternaria oxytropis, A. cinerea, and A. fulva in phytoagar showed that mycelial growth occurred at the tip of hyphae. The growth rate of A. cinerea was significantly faster than for A. oxytropis or A. fulva. All three species of endophytes grew significantly faster at 3 days age of culture and grew slowly or not at all after 20 or 30 days. Analyses of the growth of these fungi support the hypothesis that there is a nonpathogenic symbiosis between the fungal endophytes and their host plants.","container-title":"Botany","DOI":"10.1139/cjb-2017-0117","ISSN":"1916-2790, 1916-2804","issue":"3","journalAbbreviation":"Botany","language":"en","page":"187-200","source":"DOI.org (Crossref)","title":"Evidence for nonpathogenic relationships of &lt;i&gt;Alternaria&lt;/i&gt; section &lt;i&gt;Undifilum&lt;/i&gt; endophytes within three host locoweed plant species","URL":"https://cdnsciencepub.com/doi/10.1139/cjb-2017-0117","volume":"96","author":[{"family":"Noor","given":"Aziza Ibrahim"},{"family":"Nava","given":"Amy"},{"family":"Cooke","given":"Peter"},{"family":"Cook","given":"Daniel"},{"family":"Creamer","given":"Rebecca"}],"accessed":{"date-parts":[["2025",12,10]]},"issued":{"date-parts":[["2018",3]]}}}],"schema":"https://github.com/citation-style-language/schema/raw/master/csl-citation.json"} </w:instrText>
      </w:r>
      <w:r w:rsidR="00CD103B">
        <w:fldChar w:fldCharType="separate"/>
      </w:r>
      <w:r w:rsidR="00D2568B">
        <w:rPr>
          <w:noProof/>
        </w:rPr>
        <w:t>(Pryor et al. 2009; Oldrup et al. 2010; Noor et al. 2018)</w:t>
      </w:r>
      <w:r w:rsidR="00CD103B">
        <w:fldChar w:fldCharType="end"/>
      </w:r>
      <w:r w:rsidR="00F96B4A" w:rsidRPr="00F96B4A">
        <w:t>. Such compartmental separation limits fungal influence on terpene pathways, preserving host control over volatile signaling.</w:t>
      </w:r>
      <w:r>
        <w:t xml:space="preserve"> </w:t>
      </w:r>
    </w:p>
    <w:p w14:paraId="632A3844" w14:textId="6DCB1339" w:rsidR="0000203F" w:rsidRDefault="00EA5893" w:rsidP="00CD7FA1">
      <w:pPr>
        <w:ind w:firstLine="720"/>
      </w:pPr>
      <w:r>
        <w:t xml:space="preserve">Instead, </w:t>
      </w:r>
      <w:r w:rsidRPr="343A3B7A">
        <w:rPr>
          <w:i/>
          <w:iCs/>
        </w:rPr>
        <w:t>O. sericea</w:t>
      </w:r>
      <w:r>
        <w:t xml:space="preserve"> aligns more closely with tall fescue</w:t>
      </w:r>
      <w:r w:rsidR="00147E35">
        <w:t xml:space="preserve"> (</w:t>
      </w:r>
      <w:r w:rsidR="00147E35" w:rsidRPr="00147E35">
        <w:rPr>
          <w:i/>
          <w:iCs/>
        </w:rPr>
        <w:t xml:space="preserve">Lolium </w:t>
      </w:r>
      <w:proofErr w:type="spellStart"/>
      <w:r w:rsidR="00147E35" w:rsidRPr="00147E35">
        <w:rPr>
          <w:i/>
          <w:iCs/>
        </w:rPr>
        <w:t>arundinaceum</w:t>
      </w:r>
      <w:proofErr w:type="spellEnd"/>
      <w:r w:rsidR="00147E35">
        <w:t>)</w:t>
      </w:r>
      <w:r>
        <w:t xml:space="preserve">, where </w:t>
      </w:r>
      <w:r w:rsidRPr="343A3B7A">
        <w:rPr>
          <w:i/>
          <w:iCs/>
        </w:rPr>
        <w:t xml:space="preserve">Epichloë </w:t>
      </w:r>
      <w:r>
        <w:t xml:space="preserve">affects only volatile emission rate and not composition </w:t>
      </w:r>
      <w:r>
        <w:fldChar w:fldCharType="begin"/>
      </w:r>
      <w:r>
        <w:instrText xml:space="preserve"> ADDIN ZOTERO_ITEM CSL_CITATION {"citationID":"3Km0Cc6U","properties":{"formattedCitation":"(Yue et al. 2001)","plainCitation":"(Yue et al. 2001)","noteIndex":0},"citationItems":[{"id":1297,"uris":["http://zotero.org/users/14577776/items/B7S8SUPJ"],"itemData":{"id":1297,"type":"article-journal","container-title":"Phytochemistry","DOI":"10.1016/S0031-9422(01)00353-3","ISSN":"00319422","issue":"6","journalAbbreviation":"Phytochemistry","language":"en","license":"https://www.elsevier.com/tdm/userlicense/1.0/","page":"935-941","source":"DOI.org (Crossref)","title":"Volatile compounds of endophyte-free and infected tall fescue (&lt;i&gt;Festuca arundinacea&lt;/i&gt; Schreb.)","URL":"https://linkinghub.elsevier.com/retrieve/pii/S0031942201003533","volume":"58","author":[{"family":"Yue","given":"Qin"},{"family":"Wang","given":"Chunlin"},{"family":"Gianfagna","given":"Thomas J"},{"family":"Meyer","given":"William A"}],"accessed":{"date-parts":[["2025",6,19]]},"issued":{"date-parts":[["2001",11]]}}}],"schema":"https://github.com/citation-style-language/schema/raw/master/csl-citation.json"} </w:instrText>
      </w:r>
      <w:r>
        <w:fldChar w:fldCharType="separate"/>
      </w:r>
      <w:r w:rsidRPr="343A3B7A">
        <w:rPr>
          <w:noProof/>
        </w:rPr>
        <w:t>(Yue et al. 2001)</w:t>
      </w:r>
      <w:r>
        <w:fldChar w:fldCharType="end"/>
      </w:r>
      <w:r>
        <w:t>.</w:t>
      </w:r>
      <w:r w:rsidRPr="343A3B7A">
        <w:rPr>
          <w:i/>
          <w:iCs/>
        </w:rPr>
        <w:t xml:space="preserve"> </w:t>
      </w:r>
      <w:r w:rsidR="00D63C53">
        <w:t xml:space="preserve">The persistence of swainsonine biosynthesis alongside stable terpenoid profiles demonstrates </w:t>
      </w:r>
      <w:r w:rsidR="00B23FD3">
        <w:t>that alkaloid production and volatile signaling operate independently in this system</w:t>
      </w:r>
      <w:r w:rsidR="00D63C53">
        <w:t xml:space="preserve">. </w:t>
      </w:r>
      <w:r w:rsidR="00B23FD3">
        <w:t xml:space="preserve">This decoupling may represent </w:t>
      </w:r>
      <w:r w:rsidR="006C1450">
        <w:t xml:space="preserve">an ancestral trait maintained despite current neutrality, or a system awaiting </w:t>
      </w:r>
      <w:r w:rsidR="00764557">
        <w:t>specific</w:t>
      </w:r>
      <w:r w:rsidR="006C1450">
        <w:t xml:space="preserve"> environmental conditions that reveal functional integration. </w:t>
      </w:r>
    </w:p>
    <w:p w14:paraId="05101B82" w14:textId="77777777" w:rsidR="00CD2B77" w:rsidRDefault="00CD2B77" w:rsidP="00CD2B77">
      <w:pPr>
        <w:ind w:firstLine="720"/>
      </w:pPr>
      <w:r>
        <w:t xml:space="preserve">The persistence of vertical transmission despite apparent host neutrality poses a fundamental evolutionary question with several non-exclusive answers. Swainsonine may have </w:t>
      </w:r>
      <w:r>
        <w:lastRenderedPageBreak/>
        <w:t>conferred defensive benefits under historical selection regimes no longer operating, given that specialist herbivores commonly evolve alkaloid tolerance while livestock sensitivity likely reflects mammalian physiology rather than evolved plant defense. Benefits may also emerge only under specific untested stressors -- drought, extreme temperature, pathogen pressure -- given that endophyte effects in grass systems are frequently stress-contingent. Swainsonine may additionally exert diffuse, cumulative effects on invertebrate or vertebrate herbivore populations that indirectly benefit infected plants, a possibility that remains underexplored. Finally, if vertical transmission is highly efficient and endophyte removal imposes developmental or metabolic disruption, selection may favor tolerating a neutral symbiont over investing in exclusion mechanisms -- a scenario consistent with our common-garden result that endophyte removal conferred no fitness advantage. Resolving whether this association represents stable commensalism or context-dependent mutualism will require factorial manipulative experiments crossing drought, temperature, and nutrient availability, isotopic labeling paired with tissue-specific transcriptomics to quantify host-fungus metabolic fluxes, and multi-generational herbivore trials to test for diffuse alkaloid effects on herbivore populations.</w:t>
      </w:r>
    </w:p>
    <w:bookmarkEnd w:id="1"/>
    <w:p w14:paraId="32302756" w14:textId="350FCEA2" w:rsidR="00FF76AB" w:rsidRPr="00FF76AB" w:rsidRDefault="0048525F" w:rsidP="00EC30FD">
      <w:pPr>
        <w:ind w:firstLine="720"/>
      </w:pPr>
      <w:r w:rsidRPr="343A3B7A">
        <w:rPr>
          <w:b/>
          <w:bCs/>
        </w:rPr>
        <w:br w:type="page"/>
      </w:r>
    </w:p>
    <w:p w14:paraId="316D155C" w14:textId="5BBE64DC" w:rsidR="00BE6F68" w:rsidRPr="00EA7DB8" w:rsidRDefault="00BE6F68" w:rsidP="00EA7DB8">
      <w:pPr>
        <w:rPr>
          <w:b/>
          <w:bCs/>
        </w:rPr>
      </w:pPr>
      <w:r w:rsidRPr="00EA7DB8">
        <w:rPr>
          <w:b/>
          <w:bCs/>
        </w:rPr>
        <w:lastRenderedPageBreak/>
        <w:t>Citations</w:t>
      </w:r>
    </w:p>
    <w:p w14:paraId="7FBCCD98" w14:textId="77777777" w:rsidR="00116C88" w:rsidRPr="00116C88" w:rsidRDefault="00BE6F68" w:rsidP="00116C88">
      <w:pPr>
        <w:pStyle w:val="Bibliography"/>
      </w:pPr>
      <w:r>
        <w:fldChar w:fldCharType="begin"/>
      </w:r>
      <w:r w:rsidR="001F7462">
        <w:instrText xml:space="preserve"> ADDIN ZOTERO_BIBL {"uncited":[],"omitted":[],"custom":[]} CSL_BIBLIOGRAPHY </w:instrText>
      </w:r>
      <w:r>
        <w:fldChar w:fldCharType="separate"/>
      </w:r>
      <w:r w:rsidR="00116C88" w:rsidRPr="00116C88">
        <w:t>Adler LS, Seifert MG, Wink M, Morse GE (2012) Reliance on pollinators predicts defensive chemistry across tobacco species. Ecology Letters 15:1140–1148. https://doi.org/10.1111/j.1461-0248.2012.01838.x</w:t>
      </w:r>
    </w:p>
    <w:p w14:paraId="092837A8" w14:textId="77777777" w:rsidR="00116C88" w:rsidRPr="00116C88" w:rsidRDefault="00116C88" w:rsidP="00116C88">
      <w:pPr>
        <w:pStyle w:val="Bibliography"/>
      </w:pPr>
      <w:r w:rsidRPr="00116C88">
        <w:t>Agrawal AA, Hastings AP (2023) Tissue-specific plant toxins and adaptation in a specialist root herbivore. Proc Natl Acad Sci USA 120:e2302251120. https://doi.org/10.1073/pnas.2302251120</w:t>
      </w:r>
    </w:p>
    <w:p w14:paraId="66EBF009" w14:textId="77777777" w:rsidR="00116C88" w:rsidRPr="00116C88" w:rsidRDefault="00116C88" w:rsidP="00116C88">
      <w:pPr>
        <w:pStyle w:val="Bibliography"/>
      </w:pPr>
      <w:r w:rsidRPr="00116C88">
        <w:t>Berenbaum M (1983) Coumarins and Caterpillars: A Case for Coevolution. Evolution 37:163. https://doi.org/10.2307/2408184</w:t>
      </w:r>
    </w:p>
    <w:p w14:paraId="04647878" w14:textId="77777777" w:rsidR="00116C88" w:rsidRPr="00116C88" w:rsidRDefault="00116C88" w:rsidP="00116C88">
      <w:pPr>
        <w:pStyle w:val="Bibliography"/>
      </w:pPr>
      <w:r w:rsidRPr="00116C88">
        <w:t xml:space="preserve">Brückner A, </w:t>
      </w:r>
      <w:proofErr w:type="spellStart"/>
      <w:r w:rsidRPr="00116C88">
        <w:t>Heethoff</w:t>
      </w:r>
      <w:proofErr w:type="spellEnd"/>
      <w:r w:rsidRPr="00116C88">
        <w:t xml:space="preserve"> M (2017) A chemo-ecologists’ practical guide to compositional data analysis. </w:t>
      </w:r>
      <w:proofErr w:type="spellStart"/>
      <w:r w:rsidRPr="00116C88">
        <w:t>Chemoecology</w:t>
      </w:r>
      <w:proofErr w:type="spellEnd"/>
      <w:r w:rsidRPr="00116C88">
        <w:t xml:space="preserve"> 27:33–46. https://doi.org/10.1007/s00049-016-0227-8</w:t>
      </w:r>
    </w:p>
    <w:p w14:paraId="1D6E35FD" w14:textId="77777777" w:rsidR="00116C88" w:rsidRPr="00116C88" w:rsidRDefault="00116C88" w:rsidP="00116C88">
      <w:pPr>
        <w:pStyle w:val="Bibliography"/>
      </w:pPr>
      <w:r w:rsidRPr="00116C88">
        <w:t xml:space="preserve">Campbell DR, </w:t>
      </w:r>
      <w:proofErr w:type="spellStart"/>
      <w:r w:rsidRPr="00116C88">
        <w:t>Sosenski</w:t>
      </w:r>
      <w:proofErr w:type="spellEnd"/>
      <w:r w:rsidRPr="00116C88">
        <w:t xml:space="preserve"> P, Raguso RA (2019) Phenotypic plasticity of floral volatiles in response to increasing drought stress. Annals of Botany 123:601–610. https://doi.org/10.1093/aob/mcy193</w:t>
      </w:r>
    </w:p>
    <w:p w14:paraId="2819ECB3" w14:textId="77777777" w:rsidR="00116C88" w:rsidRPr="00116C88" w:rsidRDefault="00116C88" w:rsidP="00116C88">
      <w:pPr>
        <w:pStyle w:val="Bibliography"/>
      </w:pPr>
      <w:r w:rsidRPr="00116C88">
        <w:t>Carroll G (1988) Fungal Endophytes in Stems and Leaves: From Latent Pathogen to Mutualistic Symbiont. Ecology 69:2–9. https://doi.org/10.2307/1943154</w:t>
      </w:r>
    </w:p>
    <w:p w14:paraId="059A54F0" w14:textId="77777777" w:rsidR="00116C88" w:rsidRPr="00116C88" w:rsidRDefault="00116C88" w:rsidP="00116C88">
      <w:pPr>
        <w:pStyle w:val="Bibliography"/>
      </w:pPr>
      <w:r w:rsidRPr="00116C88">
        <w:t xml:space="preserve">Cook D, Ralphs MH, Welch KD, </w:t>
      </w:r>
      <w:proofErr w:type="spellStart"/>
      <w:r w:rsidRPr="00116C88">
        <w:t>Stegelmeier</w:t>
      </w:r>
      <w:proofErr w:type="spellEnd"/>
      <w:r w:rsidRPr="00116C88">
        <w:t xml:space="preserve"> BL (2009) Locoweed Poisoning in Livestock. Rangelands 31:16–21. https://doi.org/10.2111/1551-501X-31.1.16</w:t>
      </w:r>
    </w:p>
    <w:p w14:paraId="0CB940B9" w14:textId="77777777" w:rsidR="00116C88" w:rsidRPr="00116C88" w:rsidRDefault="00116C88" w:rsidP="00116C88">
      <w:pPr>
        <w:pStyle w:val="Bibliography"/>
      </w:pPr>
      <w:r w:rsidRPr="00116C88">
        <w:t xml:space="preserve">Delaney KJ, </w:t>
      </w:r>
      <w:proofErr w:type="spellStart"/>
      <w:r w:rsidRPr="00116C88">
        <w:t>Klypina</w:t>
      </w:r>
      <w:proofErr w:type="spellEnd"/>
      <w:r w:rsidRPr="00116C88">
        <w:t xml:space="preserve"> N, Maruthavanan J, et al (2011) Locoweed dose responses to nitrogen: Positive for biomass and primary physiology, but inconsistent for an alkaloid. American J of Botany 98:1956–1965. https://doi.org/10.3732/ajb.1100133</w:t>
      </w:r>
    </w:p>
    <w:p w14:paraId="39F4C243" w14:textId="77777777" w:rsidR="00116C88" w:rsidRPr="00116C88" w:rsidRDefault="00116C88" w:rsidP="00116C88">
      <w:pPr>
        <w:pStyle w:val="Bibliography"/>
      </w:pPr>
      <w:r w:rsidRPr="00116C88">
        <w:t xml:space="preserve">Ewald PW (1987) Transmission Modes and Evolution of the Parasitism‐Mutualism </w:t>
      </w:r>
      <w:proofErr w:type="spellStart"/>
      <w:r w:rsidRPr="00116C88">
        <w:t>Continuuma</w:t>
      </w:r>
      <w:proofErr w:type="spellEnd"/>
      <w:r w:rsidRPr="00116C88">
        <w:t>. Annals of the New York Academy of Sciences 503:295–306. https://doi.org/10.1111/j.1749-6632.1987.tb40616.x</w:t>
      </w:r>
    </w:p>
    <w:p w14:paraId="7DCD61FF" w14:textId="77777777" w:rsidR="00116C88" w:rsidRPr="00116C88" w:rsidRDefault="00116C88" w:rsidP="00116C88">
      <w:pPr>
        <w:pStyle w:val="Bibliography"/>
      </w:pPr>
      <w:r w:rsidRPr="00116C88">
        <w:t>Faeth SH (2002) Fungal Endophytes: Common Host Plant Symbionts but Uncommon Mutualists. Integrative and Comparative Biology 42:360–368. https://doi.org/10.1093/icb/42.2.360</w:t>
      </w:r>
    </w:p>
    <w:p w14:paraId="4B3575C9" w14:textId="77777777" w:rsidR="00116C88" w:rsidRPr="00116C88" w:rsidRDefault="00116C88" w:rsidP="00116C88">
      <w:pPr>
        <w:pStyle w:val="Bibliography"/>
      </w:pPr>
      <w:r w:rsidRPr="00116C88">
        <w:t>Fisher RM, Henry LM, Cornwallis CK, et al (2017) The evolution of host-symbiont dependence. Nat Commun 8:15973. https://doi.org/10.1038/ncomms15973</w:t>
      </w:r>
    </w:p>
    <w:p w14:paraId="5CF48D7D" w14:textId="77777777" w:rsidR="00116C88" w:rsidRPr="00116C88" w:rsidRDefault="00116C88" w:rsidP="00116C88">
      <w:pPr>
        <w:pStyle w:val="Bibliography"/>
      </w:pPr>
      <w:r w:rsidRPr="00116C88">
        <w:t xml:space="preserve">Fraenkel GS (1959) The Raison </w:t>
      </w:r>
      <w:proofErr w:type="spellStart"/>
      <w:r w:rsidRPr="00116C88">
        <w:t>d’Être</w:t>
      </w:r>
      <w:proofErr w:type="spellEnd"/>
      <w:r w:rsidRPr="00116C88">
        <w:t xml:space="preserve"> of Secondary Plant Substances: These odd chemicals arose as a means of protecting plants from insects and now guide insects to food. Science 129:1466–1470. https://doi.org/10.1126/science.129.3361.1466</w:t>
      </w:r>
    </w:p>
    <w:p w14:paraId="2CE4DCB6" w14:textId="77777777" w:rsidR="00116C88" w:rsidRPr="00116C88" w:rsidRDefault="00116C88" w:rsidP="00116C88">
      <w:pPr>
        <w:pStyle w:val="Bibliography"/>
      </w:pPr>
      <w:r w:rsidRPr="00116C88">
        <w:t xml:space="preserve">Fu K, </w:t>
      </w:r>
      <w:proofErr w:type="spellStart"/>
      <w:r w:rsidRPr="00116C88">
        <w:t>Schardl</w:t>
      </w:r>
      <w:proofErr w:type="spellEnd"/>
      <w:r w:rsidRPr="00116C88">
        <w:t xml:space="preserve"> CL, Cook D, et al (2024) </w:t>
      </w:r>
      <w:proofErr w:type="spellStart"/>
      <w:r w:rsidRPr="00116C88">
        <w:t>Multiomics</w:t>
      </w:r>
      <w:proofErr w:type="spellEnd"/>
      <w:r w:rsidRPr="00116C88">
        <w:t xml:space="preserve"> Reveals Mechanisms of </w:t>
      </w:r>
      <w:r w:rsidRPr="00116C88">
        <w:rPr>
          <w:i/>
          <w:iCs/>
        </w:rPr>
        <w:t>Alternaria oxytropis</w:t>
      </w:r>
      <w:r w:rsidRPr="00116C88">
        <w:t xml:space="preserve"> Inhibiting Pathogenic Fungi in </w:t>
      </w:r>
      <w:r w:rsidRPr="00116C88">
        <w:rPr>
          <w:i/>
          <w:iCs/>
        </w:rPr>
        <w:t xml:space="preserve">Oxytropis </w:t>
      </w:r>
      <w:proofErr w:type="spellStart"/>
      <w:r w:rsidRPr="00116C88">
        <w:rPr>
          <w:i/>
          <w:iCs/>
        </w:rPr>
        <w:t>ochrocephala</w:t>
      </w:r>
      <w:proofErr w:type="spellEnd"/>
      <w:r w:rsidRPr="00116C88">
        <w:t>. J Agric Food Chem 72:2397–2409. https://doi.org/10.1021/acs.jafc.3c09049</w:t>
      </w:r>
    </w:p>
    <w:p w14:paraId="62F405F6" w14:textId="77777777" w:rsidR="00116C88" w:rsidRPr="00116C88" w:rsidRDefault="00116C88" w:rsidP="00116C88">
      <w:pPr>
        <w:pStyle w:val="Bibliography"/>
      </w:pPr>
      <w:r w:rsidRPr="00116C88">
        <w:lastRenderedPageBreak/>
        <w:t>Gardner DR, Molyneux RJ, Ralphs MH (2001) Analysis of Swainsonine: Extraction Methods, Detection, and Measurement in Populations of Locoweeds (</w:t>
      </w:r>
      <w:r w:rsidRPr="00116C88">
        <w:rPr>
          <w:i/>
          <w:iCs/>
        </w:rPr>
        <w:t>Oxytropis</w:t>
      </w:r>
      <w:r w:rsidRPr="00116C88">
        <w:t xml:space="preserve"> spp.). J Agric Food Chem 49:4573–4580. https://doi.org/10.1021/jf010596p</w:t>
      </w:r>
    </w:p>
    <w:p w14:paraId="46959206" w14:textId="77777777" w:rsidR="00116C88" w:rsidRPr="00116C88" w:rsidRDefault="00116C88" w:rsidP="00116C88">
      <w:pPr>
        <w:pStyle w:val="Bibliography"/>
      </w:pPr>
      <w:r w:rsidRPr="00116C88">
        <w:t xml:space="preserve">Haldane JBS (2022) The Cost of Natural Selection. In: Selected Genetic Papers of J.B.S. Haldane (Routledge Revivals), 1st </w:t>
      </w:r>
      <w:proofErr w:type="spellStart"/>
      <w:r w:rsidRPr="00116C88">
        <w:t>edn</w:t>
      </w:r>
      <w:proofErr w:type="spellEnd"/>
      <w:r w:rsidRPr="00116C88">
        <w:t>. Routledge, London, pp 155–168</w:t>
      </w:r>
    </w:p>
    <w:p w14:paraId="730FB9FB" w14:textId="77777777" w:rsidR="00116C88" w:rsidRPr="00116C88" w:rsidRDefault="00116C88" w:rsidP="00116C88">
      <w:pPr>
        <w:pStyle w:val="Bibliography"/>
      </w:pPr>
      <w:r w:rsidRPr="00116C88">
        <w:t>Harrison JG, Beltran LP, Buerkle CA, et al (2021) A suite of rare microbes interacts with a dominant, heritable, fungal endophyte to influence plant trait expression. The ISME Journal 15:2763–2778. https://doi.org/10.1038/s41396-021-00964-4</w:t>
      </w:r>
    </w:p>
    <w:p w14:paraId="3D5ECF2A" w14:textId="77777777" w:rsidR="00116C88" w:rsidRPr="00116C88" w:rsidRDefault="00116C88" w:rsidP="00116C88">
      <w:pPr>
        <w:pStyle w:val="Bibliography"/>
      </w:pPr>
      <w:r w:rsidRPr="00116C88">
        <w:t>Hawkes CV, Bull JJ, Lau JA (2020) Symbiosis and stress: how plant microbiomes affect host evolution. Phil Trans R Soc B 375:20190590. https://doi.org/10.1098/rstb.2019.0590</w:t>
      </w:r>
    </w:p>
    <w:p w14:paraId="793E5732" w14:textId="77777777" w:rsidR="00116C88" w:rsidRPr="00116C88" w:rsidRDefault="00116C88" w:rsidP="00116C88">
      <w:pPr>
        <w:pStyle w:val="Bibliography"/>
      </w:pPr>
      <w:r w:rsidRPr="00116C88">
        <w:t xml:space="preserve">Keith B, </w:t>
      </w:r>
      <w:proofErr w:type="spellStart"/>
      <w:r w:rsidRPr="00116C88">
        <w:t>Ahortor</w:t>
      </w:r>
      <w:proofErr w:type="spellEnd"/>
      <w:r w:rsidRPr="00116C88">
        <w:t xml:space="preserve"> M, Linse G, et al (2025) The locoweed–endophyte complex as commensalism: a multigenerational study. Weed Sci 73:e55. https://doi.org/10.1017/wsc.2025.10026</w:t>
      </w:r>
    </w:p>
    <w:p w14:paraId="67A40A4E" w14:textId="77777777" w:rsidR="00116C88" w:rsidRPr="00116C88" w:rsidRDefault="00116C88" w:rsidP="00116C88">
      <w:pPr>
        <w:pStyle w:val="Bibliography"/>
      </w:pPr>
      <w:r w:rsidRPr="00116C88">
        <w:t xml:space="preserve">Kessler D, Bhattacharya S, Diezel C, et al (2012) Unpredictability of nectar nicotine promotes outcrossing by hummingbirds in </w:t>
      </w:r>
      <w:r w:rsidRPr="00116C88">
        <w:rPr>
          <w:i/>
          <w:iCs/>
        </w:rPr>
        <w:t xml:space="preserve">Nicotiana </w:t>
      </w:r>
      <w:proofErr w:type="spellStart"/>
      <w:r w:rsidRPr="00116C88">
        <w:rPr>
          <w:i/>
          <w:iCs/>
        </w:rPr>
        <w:t>attenuata</w:t>
      </w:r>
      <w:proofErr w:type="spellEnd"/>
      <w:r w:rsidRPr="00116C88">
        <w:t>. The Plant Journal 71:529–538. https://doi.org/10.1111/j.1365-313X.2012.05008.x</w:t>
      </w:r>
    </w:p>
    <w:p w14:paraId="1B2C36D1" w14:textId="77777777" w:rsidR="00116C88" w:rsidRPr="00116C88" w:rsidRDefault="00116C88" w:rsidP="00116C88">
      <w:pPr>
        <w:pStyle w:val="Bibliography"/>
      </w:pPr>
      <w:proofErr w:type="spellStart"/>
      <w:r w:rsidRPr="00116C88">
        <w:t>Klypina</w:t>
      </w:r>
      <w:proofErr w:type="spellEnd"/>
      <w:r w:rsidRPr="00116C88">
        <w:t xml:space="preserve"> N, Pinch M, Schutte BJ, et al (2017) Water-Deficit Stress Tolerance Differs between Two Locoweed Genera ( </w:t>
      </w:r>
      <w:r w:rsidRPr="00116C88">
        <w:rPr>
          <w:i/>
          <w:iCs/>
        </w:rPr>
        <w:t>Astragalus</w:t>
      </w:r>
      <w:r w:rsidRPr="00116C88">
        <w:t xml:space="preserve"> and </w:t>
      </w:r>
      <w:r w:rsidRPr="00116C88">
        <w:rPr>
          <w:i/>
          <w:iCs/>
        </w:rPr>
        <w:t>Oxytropis</w:t>
      </w:r>
      <w:r w:rsidRPr="00116C88">
        <w:t xml:space="preserve"> ) with Fungal Endophytes. Weed Sci 65:626–638. https://doi.org/10.1017/wsc.2017.21</w:t>
      </w:r>
    </w:p>
    <w:p w14:paraId="0A3FB9A9" w14:textId="77777777" w:rsidR="00116C88" w:rsidRPr="00116C88" w:rsidRDefault="00116C88" w:rsidP="00116C88">
      <w:pPr>
        <w:pStyle w:val="Bibliography"/>
      </w:pPr>
      <w:r w:rsidRPr="00116C88">
        <w:t>Lande R (1976) Natural Selection and Random Genetic Drift in Phenotypic Evolution. Evolution 30:314. https://doi.org/10.2307/2407703</w:t>
      </w:r>
    </w:p>
    <w:p w14:paraId="49C231AE" w14:textId="77777777" w:rsidR="00116C88" w:rsidRPr="00116C88" w:rsidRDefault="00116C88" w:rsidP="00116C88">
      <w:pPr>
        <w:pStyle w:val="Bibliography"/>
      </w:pPr>
      <w:r w:rsidRPr="00116C88">
        <w:t>Lee K, Missaoui A, Mahmud K, et al (2021) Interaction between Grasses and Epichloë Endophytes and Its Significance to Biotic and Abiotic Stress Tolerance and the Rhizosphere. Microorganisms 9:2186. https://doi.org/10.3390/microorganisms9112186</w:t>
      </w:r>
    </w:p>
    <w:p w14:paraId="39F8BD46" w14:textId="77777777" w:rsidR="00116C88" w:rsidRPr="00116C88" w:rsidRDefault="00116C88" w:rsidP="00116C88">
      <w:pPr>
        <w:pStyle w:val="Bibliography"/>
      </w:pPr>
      <w:r w:rsidRPr="00116C88">
        <w:t xml:space="preserve">Lee MJ, Pate JS, Harris DJ, Atkins CA (2007) Synthesis, transport and accumulation of quinolizidine alkaloids in </w:t>
      </w:r>
      <w:r w:rsidRPr="00116C88">
        <w:rPr>
          <w:i/>
          <w:iCs/>
        </w:rPr>
        <w:t>Lupinus albus</w:t>
      </w:r>
      <w:r w:rsidRPr="00116C88">
        <w:t xml:space="preserve"> L. and </w:t>
      </w:r>
      <w:r w:rsidRPr="00116C88">
        <w:rPr>
          <w:i/>
          <w:iCs/>
        </w:rPr>
        <w:t xml:space="preserve">L. </w:t>
      </w:r>
      <w:proofErr w:type="spellStart"/>
      <w:r w:rsidRPr="00116C88">
        <w:rPr>
          <w:i/>
          <w:iCs/>
        </w:rPr>
        <w:t>angustifolius</w:t>
      </w:r>
      <w:proofErr w:type="spellEnd"/>
      <w:r w:rsidRPr="00116C88">
        <w:t xml:space="preserve"> L. Journal of Experimental Botany 58:935–946. https://doi.org/10.1093/jxb/erl254</w:t>
      </w:r>
    </w:p>
    <w:p w14:paraId="1681F0D6" w14:textId="77777777" w:rsidR="00116C88" w:rsidRPr="00116C88" w:rsidRDefault="00116C88" w:rsidP="00116C88">
      <w:pPr>
        <w:pStyle w:val="Bibliography"/>
      </w:pPr>
      <w:r w:rsidRPr="00116C88">
        <w:t>Liu-Xu L, Vicedo B, García-Agustín P, Llorens E (2022) Advances in endophytic fungi research: a data analysis of 25 years of achievements and challenges. Journal of Plant Interactions 17:244–266. https://doi.org/10.1080/17429145.2022.2032429</w:t>
      </w:r>
    </w:p>
    <w:p w14:paraId="12010362" w14:textId="77777777" w:rsidR="00116C88" w:rsidRPr="00116C88" w:rsidRDefault="00116C88" w:rsidP="00116C88">
      <w:pPr>
        <w:pStyle w:val="Bibliography"/>
      </w:pPr>
      <w:r w:rsidRPr="00116C88">
        <w:t xml:space="preserve">Luna-Fontalvo JA, </w:t>
      </w:r>
      <w:proofErr w:type="spellStart"/>
      <w:r w:rsidRPr="00116C88">
        <w:t>Balocchi</w:t>
      </w:r>
      <w:proofErr w:type="spellEnd"/>
      <w:r w:rsidRPr="00116C88">
        <w:t xml:space="preserve"> O, Martínez O, et al (2025) Symbiosis Between Epichloë Fungi and Bromus Grasses: A Review of Current Knowledge and Future Directions. </w:t>
      </w:r>
      <w:proofErr w:type="spellStart"/>
      <w:r w:rsidRPr="00116C88">
        <w:t>JoF</w:t>
      </w:r>
      <w:proofErr w:type="spellEnd"/>
      <w:r w:rsidRPr="00116C88">
        <w:t xml:space="preserve"> 11:807. https://doi.org/10.3390/jof11110807</w:t>
      </w:r>
    </w:p>
    <w:p w14:paraId="4BEB7E93" w14:textId="77777777" w:rsidR="00116C88" w:rsidRPr="00116C88" w:rsidRDefault="00116C88" w:rsidP="00116C88">
      <w:pPr>
        <w:pStyle w:val="Bibliography"/>
      </w:pPr>
      <w:r w:rsidRPr="00116C88">
        <w:t>Luo F, Hong S, Chen B, et al (2020) Unveiling of Swainsonine Biosynthesis via a Multibranched Pathway in Fungi. ACS Chem Biol 15:2476–2484. https://doi.org/10.1021/acschembio.0c00466</w:t>
      </w:r>
    </w:p>
    <w:p w14:paraId="24639B2E" w14:textId="77777777" w:rsidR="00116C88" w:rsidRPr="00116C88" w:rsidRDefault="00116C88" w:rsidP="00116C88">
      <w:pPr>
        <w:pStyle w:val="Bibliography"/>
      </w:pPr>
      <w:r w:rsidRPr="00116C88">
        <w:lastRenderedPageBreak/>
        <w:t xml:space="preserve">Malone SC, </w:t>
      </w:r>
      <w:proofErr w:type="spellStart"/>
      <w:r w:rsidRPr="00116C88">
        <w:t>Menalled</w:t>
      </w:r>
      <w:proofErr w:type="spellEnd"/>
      <w:r w:rsidRPr="00116C88">
        <w:t xml:space="preserve"> FD, Weaver DK, et al (2022) Cropping systems alter plant volatile emissions in the field through soil legacy effects. Renew Agric Food Syst 37:375–381. https://doi.org/10.1017/s174217052200014x</w:t>
      </w:r>
    </w:p>
    <w:p w14:paraId="1C44FC05" w14:textId="77777777" w:rsidR="00116C88" w:rsidRPr="00116C88" w:rsidRDefault="00116C88" w:rsidP="00116C88">
      <w:pPr>
        <w:pStyle w:val="Bibliography"/>
      </w:pPr>
      <w:r w:rsidRPr="00116C88">
        <w:t xml:space="preserve">Mathis KA, Bronstein JL (2020) Our Current Understanding of Commensalism. Annu Rev </w:t>
      </w:r>
      <w:proofErr w:type="spellStart"/>
      <w:r w:rsidRPr="00116C88">
        <w:t>Ecol</w:t>
      </w:r>
      <w:proofErr w:type="spellEnd"/>
      <w:r w:rsidRPr="00116C88">
        <w:t xml:space="preserve"> Evol Syst 51:167–189. https://doi.org/10.1146/annurev-ecolsys-011720-040844</w:t>
      </w:r>
    </w:p>
    <w:p w14:paraId="1D850A29" w14:textId="77777777" w:rsidR="00116C88" w:rsidRPr="00116C88" w:rsidRDefault="00116C88" w:rsidP="00116C88">
      <w:pPr>
        <w:pStyle w:val="Bibliography"/>
      </w:pPr>
      <w:r w:rsidRPr="00116C88">
        <w:t>May G (2016) Here come the commensals. American J of Botany 103:1709–1711. https://doi.org/10.3732/ajb.1600265</w:t>
      </w:r>
    </w:p>
    <w:p w14:paraId="13E37F2B" w14:textId="77777777" w:rsidR="00116C88" w:rsidRPr="00116C88" w:rsidRDefault="00116C88" w:rsidP="00116C88">
      <w:pPr>
        <w:pStyle w:val="Bibliography"/>
      </w:pPr>
      <w:r w:rsidRPr="00116C88">
        <w:t>Molyneux RJ, James LF (1982) Loco Intoxication: Indolizidine Alkaloids of Spotted Locoweed (</w:t>
      </w:r>
      <w:r w:rsidRPr="00116C88">
        <w:rPr>
          <w:i/>
          <w:iCs/>
        </w:rPr>
        <w:t xml:space="preserve">Astragalus </w:t>
      </w:r>
      <w:proofErr w:type="spellStart"/>
      <w:r w:rsidRPr="00116C88">
        <w:rPr>
          <w:i/>
          <w:iCs/>
        </w:rPr>
        <w:t>lentiginosus</w:t>
      </w:r>
      <w:proofErr w:type="spellEnd"/>
      <w:r w:rsidRPr="00116C88">
        <w:t>). Science 216:190–191. https://doi.org/10.1126/science.6801763</w:t>
      </w:r>
    </w:p>
    <w:p w14:paraId="199257E9" w14:textId="77777777" w:rsidR="00116C88" w:rsidRPr="00116C88" w:rsidRDefault="00116C88" w:rsidP="00116C88">
      <w:pPr>
        <w:pStyle w:val="Bibliography"/>
      </w:pPr>
      <w:proofErr w:type="spellStart"/>
      <w:r w:rsidRPr="00116C88">
        <w:t>Mucciarelli</w:t>
      </w:r>
      <w:proofErr w:type="spellEnd"/>
      <w:r w:rsidRPr="00116C88">
        <w:t xml:space="preserve"> M, Camusso W, Maffei M, et al (2007) Volatile Terpenoids of Endophyte-free and Infected Peppermint (</w:t>
      </w:r>
      <w:r w:rsidRPr="00116C88">
        <w:rPr>
          <w:i/>
          <w:iCs/>
        </w:rPr>
        <w:t>Mentha piperita</w:t>
      </w:r>
      <w:r w:rsidRPr="00116C88">
        <w:t xml:space="preserve"> L.): Chemical Partitioning of a Symbiosis. </w:t>
      </w:r>
      <w:proofErr w:type="spellStart"/>
      <w:r w:rsidRPr="00116C88">
        <w:t>Microb</w:t>
      </w:r>
      <w:proofErr w:type="spellEnd"/>
      <w:r w:rsidRPr="00116C88">
        <w:t xml:space="preserve"> </w:t>
      </w:r>
      <w:proofErr w:type="spellStart"/>
      <w:r w:rsidRPr="00116C88">
        <w:t>Ecol</w:t>
      </w:r>
      <w:proofErr w:type="spellEnd"/>
      <w:r w:rsidRPr="00116C88">
        <w:t xml:space="preserve"> 54:685–696. https://doi.org/10.1007/s00248-007-9227-0</w:t>
      </w:r>
    </w:p>
    <w:p w14:paraId="1E433D78" w14:textId="77777777" w:rsidR="00116C88" w:rsidRPr="00116C88" w:rsidRDefault="00116C88" w:rsidP="00116C88">
      <w:pPr>
        <w:pStyle w:val="Bibliography"/>
      </w:pPr>
      <w:r w:rsidRPr="00116C88">
        <w:t xml:space="preserve">Nissar S, Reshi ZA, Pandit S, </w:t>
      </w:r>
      <w:proofErr w:type="spellStart"/>
      <w:r w:rsidRPr="00116C88">
        <w:t>Parray</w:t>
      </w:r>
      <w:proofErr w:type="spellEnd"/>
      <w:r w:rsidRPr="00116C88">
        <w:t xml:space="preserve"> MA (2025) Chemical plasticity and volatile organic compound diversity in </w:t>
      </w:r>
      <w:r w:rsidRPr="00116C88">
        <w:rPr>
          <w:i/>
          <w:iCs/>
        </w:rPr>
        <w:t xml:space="preserve">Anthemis </w:t>
      </w:r>
      <w:proofErr w:type="spellStart"/>
      <w:r w:rsidRPr="00116C88">
        <w:rPr>
          <w:i/>
          <w:iCs/>
        </w:rPr>
        <w:t>cotula</w:t>
      </w:r>
      <w:proofErr w:type="spellEnd"/>
      <w:r w:rsidRPr="00116C88">
        <w:t xml:space="preserve"> L.: variations across growth cycles, plant organs, and elevations. </w:t>
      </w:r>
      <w:proofErr w:type="spellStart"/>
      <w:r w:rsidRPr="00116C88">
        <w:t>Chemoecology</w:t>
      </w:r>
      <w:proofErr w:type="spellEnd"/>
      <w:r w:rsidRPr="00116C88">
        <w:t xml:space="preserve"> 35:97–111. https://doi.org/10.1007/s00049-025-00419-8</w:t>
      </w:r>
    </w:p>
    <w:p w14:paraId="1499E470" w14:textId="77777777" w:rsidR="00116C88" w:rsidRPr="00116C88" w:rsidRDefault="00116C88" w:rsidP="00116C88">
      <w:pPr>
        <w:pStyle w:val="Bibliography"/>
      </w:pPr>
      <w:r w:rsidRPr="00116C88">
        <w:t xml:space="preserve">Noor AI, Nava A, Cooke P, et al (2018) Evidence for nonpathogenic relationships of </w:t>
      </w:r>
      <w:r w:rsidRPr="00116C88">
        <w:rPr>
          <w:i/>
          <w:iCs/>
        </w:rPr>
        <w:t>Alternaria</w:t>
      </w:r>
      <w:r w:rsidRPr="00116C88">
        <w:t xml:space="preserve"> section </w:t>
      </w:r>
      <w:proofErr w:type="spellStart"/>
      <w:r w:rsidRPr="00116C88">
        <w:rPr>
          <w:i/>
          <w:iCs/>
        </w:rPr>
        <w:t>Undifilum</w:t>
      </w:r>
      <w:proofErr w:type="spellEnd"/>
      <w:r w:rsidRPr="00116C88">
        <w:t xml:space="preserve"> endophytes within three host locoweed plant species. Botany 96:187–200. https://doi.org/10.1139/cjb-2017-0117</w:t>
      </w:r>
    </w:p>
    <w:p w14:paraId="6EDD46DF" w14:textId="77777777" w:rsidR="00116C88" w:rsidRPr="00116C88" w:rsidRDefault="00116C88" w:rsidP="00116C88">
      <w:pPr>
        <w:pStyle w:val="Bibliography"/>
      </w:pPr>
      <w:r w:rsidRPr="00116C88">
        <w:t>Oksanen J, Simpson L, Blanchet G, et al (2011) Vegan: Community Ecology Package</w:t>
      </w:r>
    </w:p>
    <w:p w14:paraId="39F4BCF7" w14:textId="77777777" w:rsidR="00116C88" w:rsidRPr="00116C88" w:rsidRDefault="00116C88" w:rsidP="00116C88">
      <w:pPr>
        <w:pStyle w:val="Bibliography"/>
      </w:pPr>
      <w:r w:rsidRPr="00116C88">
        <w:t xml:space="preserve">Oldrup E, McLain-Romero J, Padilla A, et al (2010) Localization of endophytic </w:t>
      </w:r>
      <w:proofErr w:type="spellStart"/>
      <w:r w:rsidRPr="00116C88">
        <w:rPr>
          <w:i/>
          <w:iCs/>
        </w:rPr>
        <w:t>Undifilum</w:t>
      </w:r>
      <w:proofErr w:type="spellEnd"/>
      <w:r w:rsidRPr="00116C88">
        <w:t xml:space="preserve"> fungi in locoweed seed and influence of environmental parameters on a locoweed in vitro culture system. Botany 88:512–521. https://doi.org/10.1139/B10-026</w:t>
      </w:r>
    </w:p>
    <w:p w14:paraId="7D023568" w14:textId="77777777" w:rsidR="00116C88" w:rsidRPr="00116C88" w:rsidRDefault="00116C88" w:rsidP="00116C88">
      <w:pPr>
        <w:pStyle w:val="Bibliography"/>
      </w:pPr>
      <w:r w:rsidRPr="00116C88">
        <w:t>Otterbach SL, Yang T, Kato L, et al (2019) Quinolizidine alkaloids are transported to seeds of bitter narrow-leafed lupin. Journal of Experimental Botany 70:5799–5808. https://doi.org/10.1093/jxb/erz334</w:t>
      </w:r>
    </w:p>
    <w:p w14:paraId="58C7C347" w14:textId="77777777" w:rsidR="00116C88" w:rsidRPr="00116C88" w:rsidRDefault="00116C88" w:rsidP="00116C88">
      <w:pPr>
        <w:pStyle w:val="Bibliography"/>
      </w:pPr>
      <w:r w:rsidRPr="00116C88">
        <w:t xml:space="preserve">Perez OG (2009) Behavioral and Sensory Responses of Endemic Braconid Parasitoids to Changes in Volatile Emissions Induced by Wheat Stem Sawfly, </w:t>
      </w:r>
      <w:r w:rsidRPr="00116C88">
        <w:rPr>
          <w:i/>
          <w:iCs/>
        </w:rPr>
        <w:t>Cephus cinctus</w:t>
      </w:r>
      <w:r w:rsidRPr="00116C88">
        <w:t xml:space="preserve"> Herbivory. Montana State University</w:t>
      </w:r>
    </w:p>
    <w:p w14:paraId="029B553C" w14:textId="77777777" w:rsidR="00116C88" w:rsidRPr="00116C88" w:rsidRDefault="00116C88" w:rsidP="00116C88">
      <w:pPr>
        <w:pStyle w:val="Bibliography"/>
      </w:pPr>
      <w:r w:rsidRPr="00116C88">
        <w:t xml:space="preserve">Pryor BM, Creamer R, Shoemaker RA, et al (2009) </w:t>
      </w:r>
      <w:proofErr w:type="spellStart"/>
      <w:r w:rsidRPr="00116C88">
        <w:rPr>
          <w:i/>
          <w:iCs/>
        </w:rPr>
        <w:t>Undifilum</w:t>
      </w:r>
      <w:proofErr w:type="spellEnd"/>
      <w:r w:rsidRPr="00116C88">
        <w:t xml:space="preserve">, a new genus for endophytic </w:t>
      </w:r>
      <w:proofErr w:type="spellStart"/>
      <w:r w:rsidRPr="00116C88">
        <w:rPr>
          <w:i/>
          <w:iCs/>
        </w:rPr>
        <w:t>Embellisia</w:t>
      </w:r>
      <w:proofErr w:type="spellEnd"/>
      <w:r w:rsidRPr="00116C88">
        <w:rPr>
          <w:i/>
          <w:iCs/>
        </w:rPr>
        <w:t xml:space="preserve"> oxytropis</w:t>
      </w:r>
      <w:r w:rsidRPr="00116C88">
        <w:t xml:space="preserve"> and parasitic </w:t>
      </w:r>
      <w:proofErr w:type="spellStart"/>
      <w:r w:rsidRPr="00116C88">
        <w:rPr>
          <w:i/>
          <w:iCs/>
        </w:rPr>
        <w:t>Helminthosporium</w:t>
      </w:r>
      <w:proofErr w:type="spellEnd"/>
      <w:r w:rsidRPr="00116C88">
        <w:rPr>
          <w:i/>
          <w:iCs/>
        </w:rPr>
        <w:t xml:space="preserve"> </w:t>
      </w:r>
      <w:proofErr w:type="spellStart"/>
      <w:r w:rsidRPr="00116C88">
        <w:rPr>
          <w:i/>
          <w:iCs/>
        </w:rPr>
        <w:t>bornmuelleri</w:t>
      </w:r>
      <w:proofErr w:type="spellEnd"/>
      <w:r w:rsidRPr="00116C88">
        <w:t xml:space="preserve"> on legumes. Botany 87:178–194. https://doi.org/10.1139/b08-130</w:t>
      </w:r>
    </w:p>
    <w:p w14:paraId="1C219B7E" w14:textId="77777777" w:rsidR="00116C88" w:rsidRPr="00116C88" w:rsidRDefault="00116C88" w:rsidP="00116C88">
      <w:pPr>
        <w:pStyle w:val="Bibliography"/>
      </w:pPr>
      <w:r w:rsidRPr="00116C88">
        <w:t xml:space="preserve">Raguso RA (2008) Wake Up and Smell the Roses: The Ecology and Evolution of Floral Scent. Annu Rev </w:t>
      </w:r>
      <w:proofErr w:type="spellStart"/>
      <w:r w:rsidRPr="00116C88">
        <w:t>Ecol</w:t>
      </w:r>
      <w:proofErr w:type="spellEnd"/>
      <w:r w:rsidRPr="00116C88">
        <w:t xml:space="preserve"> Evol Syst 39:549–569. https://doi.org/10.1146/annurev.ecolsys.38.091206.095601</w:t>
      </w:r>
    </w:p>
    <w:p w14:paraId="5056E932" w14:textId="77777777" w:rsidR="00116C88" w:rsidRPr="00116C88" w:rsidRDefault="00116C88" w:rsidP="00116C88">
      <w:pPr>
        <w:pStyle w:val="Bibliography"/>
      </w:pPr>
      <w:r w:rsidRPr="00116C88">
        <w:lastRenderedPageBreak/>
        <w:t>Ralphs MH, Cook D, Gardner DR, Grum DS (2011) Transmission of the locoweed endophyte to the next generation of plants. Fungal Ecology 4:251–255. https://doi.org/10.1016/j.funeco.2011.03.001</w:t>
      </w:r>
    </w:p>
    <w:p w14:paraId="313D0B64" w14:textId="77777777" w:rsidR="00116C88" w:rsidRPr="00116C88" w:rsidRDefault="00116C88" w:rsidP="00116C88">
      <w:pPr>
        <w:pStyle w:val="Bibliography"/>
      </w:pPr>
      <w:r w:rsidRPr="00116C88">
        <w:t xml:space="preserve">Realini FM, Escobedo VM, Ueno AC, et al (2024) Anti-herbivory </w:t>
      </w:r>
      <w:proofErr w:type="spellStart"/>
      <w:r w:rsidRPr="00116C88">
        <w:t>defences</w:t>
      </w:r>
      <w:proofErr w:type="spellEnd"/>
      <w:r w:rsidRPr="00116C88">
        <w:t xml:space="preserve"> delivered by </w:t>
      </w:r>
      <w:r w:rsidRPr="00116C88">
        <w:rPr>
          <w:i/>
          <w:iCs/>
        </w:rPr>
        <w:t>Epichloë</w:t>
      </w:r>
      <w:r w:rsidRPr="00116C88">
        <w:t xml:space="preserve"> fungal endophytes: a quantitative review of alkaloid concentration variation among hosts and plant parts. Annals of Botany 133:509–520. https://doi.org/10.1093/aob/mcae014</w:t>
      </w:r>
    </w:p>
    <w:p w14:paraId="0DEAC835" w14:textId="77777777" w:rsidR="00116C88" w:rsidRPr="00116C88" w:rsidRDefault="00116C88" w:rsidP="00116C88">
      <w:pPr>
        <w:pStyle w:val="Bibliography"/>
      </w:pPr>
      <w:r w:rsidRPr="00116C88">
        <w:t>Reed TE, Schindler DE, Waples RS (2011) Interacting Effects of Phenotypic Plasticity and Evolution on Population Persistence in a Changing Climate. Conservation Biology 25:56–63. https://doi.org/10.1111/j.1523-1739.2010.01552.x</w:t>
      </w:r>
    </w:p>
    <w:p w14:paraId="030F5AAC" w14:textId="77777777" w:rsidR="00116C88" w:rsidRPr="00116C88" w:rsidRDefault="00116C88" w:rsidP="00116C88">
      <w:pPr>
        <w:pStyle w:val="Bibliography"/>
      </w:pPr>
      <w:r w:rsidRPr="00116C88">
        <w:t xml:space="preserve">Reyna R, Cooke P, Grum D, et al (2012) Detection and localization of the endophyte </w:t>
      </w:r>
      <w:proofErr w:type="spellStart"/>
      <w:r w:rsidRPr="00116C88">
        <w:rPr>
          <w:i/>
          <w:iCs/>
        </w:rPr>
        <w:t>Undifilum</w:t>
      </w:r>
      <w:proofErr w:type="spellEnd"/>
      <w:r w:rsidRPr="00116C88">
        <w:rPr>
          <w:i/>
          <w:iCs/>
        </w:rPr>
        <w:t xml:space="preserve"> oxytropis</w:t>
      </w:r>
      <w:r w:rsidRPr="00116C88">
        <w:t xml:space="preserve"> in locoweed tissues. Botany 90:1229–1236. https://doi.org/10.1139/b2012-092</w:t>
      </w:r>
    </w:p>
    <w:p w14:paraId="7F161B8C" w14:textId="77777777" w:rsidR="00116C88" w:rsidRPr="00116C88" w:rsidRDefault="00116C88" w:rsidP="00116C88">
      <w:pPr>
        <w:pStyle w:val="Bibliography"/>
      </w:pPr>
      <w:r w:rsidRPr="00116C88">
        <w:t>Rodriguez RJ, White Jr JF, Arnold AE, Redman RS (2009) Fungal endophytes: diversity and functional roles. New Phytologist 182:314–330. https://doi.org/10.1111/j.1469-8137.2009.02773.x</w:t>
      </w:r>
    </w:p>
    <w:p w14:paraId="0E2BCA5E" w14:textId="77777777" w:rsidR="00116C88" w:rsidRPr="00116C88" w:rsidRDefault="00116C88" w:rsidP="00116C88">
      <w:pPr>
        <w:pStyle w:val="Bibliography"/>
      </w:pPr>
      <w:r w:rsidRPr="00116C88">
        <w:t>Ryu C-M, Farag MA, Hu C-H, et al (2004) Bacterial Volatiles Induce Systemic Resistance in Arabidopsis. Plant Physiology 134:1017–1026. https://doi.org/10.1104/pp.103.026583</w:t>
      </w:r>
    </w:p>
    <w:p w14:paraId="40FF2FF8" w14:textId="77777777" w:rsidR="00116C88" w:rsidRPr="00116C88" w:rsidRDefault="00116C88" w:rsidP="00116C88">
      <w:pPr>
        <w:pStyle w:val="Bibliography"/>
      </w:pPr>
      <w:r w:rsidRPr="00116C88">
        <w:t>Shankar Naik B (2019) Functional roles of fungal endophytes in host fitness during stress conditions. Symbiosis 79:99–115. https://doi.org/10.1007/s13199-019-00635-1</w:t>
      </w:r>
    </w:p>
    <w:p w14:paraId="18E0234C" w14:textId="77777777" w:rsidR="00116C88" w:rsidRPr="00116C88" w:rsidRDefault="00116C88" w:rsidP="00116C88">
      <w:pPr>
        <w:pStyle w:val="Bibliography"/>
      </w:pPr>
      <w:r w:rsidRPr="00116C88">
        <w:t>Sørensen MES, Lowe CD, Minter EJA, et al (2019) The role of exploitation in the establishment of mutualistic microbial symbioses. FEMS Microbiology Letters 366:fnz148. https://doi.org/10.1093/femsle/fnz148</w:t>
      </w:r>
    </w:p>
    <w:p w14:paraId="69B6EB28" w14:textId="77777777" w:rsidR="00116C88" w:rsidRPr="00116C88" w:rsidRDefault="00116C88" w:rsidP="00116C88">
      <w:pPr>
        <w:pStyle w:val="Bibliography"/>
      </w:pPr>
      <w:r w:rsidRPr="00116C88">
        <w:t xml:space="preserve">Strand JR, Perez Moya OG, Peterson RKD, et al (2025) Sensory and behavioral responses of braconid parasitoids to changes in volatile emissions induced by wheat stem sawfly (Hymenoptera: Cephidae) larval feeding in winter wheat and smooth brome. Journal of Insect Science </w:t>
      </w:r>
      <w:proofErr w:type="gramStart"/>
      <w:r w:rsidRPr="00116C88">
        <w:t>25:.</w:t>
      </w:r>
      <w:proofErr w:type="gramEnd"/>
      <w:r w:rsidRPr="00116C88">
        <w:t xml:space="preserve"> https://doi.org/10.1093/jisesa/ieaf016</w:t>
      </w:r>
    </w:p>
    <w:p w14:paraId="2968417D" w14:textId="77777777" w:rsidR="00116C88" w:rsidRPr="00116C88" w:rsidRDefault="00116C88" w:rsidP="00116C88">
      <w:pPr>
        <w:pStyle w:val="Bibliography"/>
      </w:pPr>
      <w:r w:rsidRPr="00116C88">
        <w:t>Tan X, Chen AJ, Wu B, et al (2018) Advance of swainsonine biosynthesis. Chinese Chemical Letters 29:417–422. https://doi.org/10.1016/j.cclet.2017.08.040</w:t>
      </w:r>
    </w:p>
    <w:p w14:paraId="1FA517BA" w14:textId="77777777" w:rsidR="00116C88" w:rsidRPr="00116C88" w:rsidRDefault="00116C88" w:rsidP="00116C88">
      <w:pPr>
        <w:pStyle w:val="Bibliography"/>
      </w:pPr>
      <w:r w:rsidRPr="00116C88">
        <w:t xml:space="preserve">Thompson DC, Knight JL, Sterling TM, Murray LW (1995) Preference for specific varieties of woolly locoweed by a specialist weevil, </w:t>
      </w:r>
      <w:proofErr w:type="spellStart"/>
      <w:r w:rsidRPr="00116C88">
        <w:rPr>
          <w:i/>
          <w:iCs/>
        </w:rPr>
        <w:t>Cleonidius</w:t>
      </w:r>
      <w:proofErr w:type="spellEnd"/>
      <w:r w:rsidRPr="00116C88">
        <w:rPr>
          <w:i/>
          <w:iCs/>
        </w:rPr>
        <w:t xml:space="preserve"> </w:t>
      </w:r>
      <w:proofErr w:type="spellStart"/>
      <w:r w:rsidRPr="00116C88">
        <w:rPr>
          <w:i/>
          <w:iCs/>
        </w:rPr>
        <w:t>travittatus</w:t>
      </w:r>
      <w:proofErr w:type="spellEnd"/>
      <w:r w:rsidRPr="00116C88">
        <w:t xml:space="preserve"> (Say). Southwestern Entomologist 20:325–333</w:t>
      </w:r>
    </w:p>
    <w:p w14:paraId="1B8C00B5" w14:textId="77777777" w:rsidR="00116C88" w:rsidRPr="00116C88" w:rsidRDefault="00116C88" w:rsidP="00116C88">
      <w:pPr>
        <w:pStyle w:val="Bibliography"/>
      </w:pPr>
      <w:proofErr w:type="spellStart"/>
      <w:r w:rsidRPr="00116C88">
        <w:t>Trunschke</w:t>
      </w:r>
      <w:proofErr w:type="spellEnd"/>
      <w:r w:rsidRPr="00116C88">
        <w:t xml:space="preserve"> J, Lunau K, Pyke GH, et al (2021) Flower Color Evolution and the Evidence of Pollinator-Mediated Selection. Front Plant Sci 12:617851. https://doi.org/10.3389/fpls.2021.617851</w:t>
      </w:r>
    </w:p>
    <w:p w14:paraId="6503D3D4" w14:textId="77777777" w:rsidR="00116C88" w:rsidRPr="00116C88" w:rsidRDefault="00116C88" w:rsidP="00116C88">
      <w:pPr>
        <w:pStyle w:val="Bibliography"/>
      </w:pPr>
      <w:proofErr w:type="spellStart"/>
      <w:r w:rsidRPr="00116C88">
        <w:lastRenderedPageBreak/>
        <w:t>Turlings</w:t>
      </w:r>
      <w:proofErr w:type="spellEnd"/>
      <w:r w:rsidRPr="00116C88">
        <w:t xml:space="preserve"> TCJ, Tumlinson JH, Lewis WJ (1990) Exploitation of Herbivore-Induced Plant Odors by Host-Seeking Parasitic Wasps. Science 250:1251–1253. https://doi.org/10.1126/science.250.4985.1251</w:t>
      </w:r>
    </w:p>
    <w:p w14:paraId="5EE24F12" w14:textId="77777777" w:rsidR="00116C88" w:rsidRPr="00116C88" w:rsidRDefault="00116C88" w:rsidP="00116C88">
      <w:pPr>
        <w:pStyle w:val="Bibliography"/>
      </w:pPr>
      <w:r w:rsidRPr="00116C88">
        <w:t xml:space="preserve">Vallotton AD, Murray LW, Delaney KJ, Sterling TM (2012) Water deficit induces swainsonine of some locoweed taxa, but with no swainsonine-growth trade-off. Acta </w:t>
      </w:r>
      <w:proofErr w:type="spellStart"/>
      <w:r w:rsidRPr="00116C88">
        <w:t>Oecologica</w:t>
      </w:r>
      <w:proofErr w:type="spellEnd"/>
      <w:r w:rsidRPr="00116C88">
        <w:t xml:space="preserve"> 43:140–149. https://doi.org/10.1016/j.actao.2012.06.006</w:t>
      </w:r>
    </w:p>
    <w:p w14:paraId="2B004453" w14:textId="77777777" w:rsidR="00116C88" w:rsidRPr="00116C88" w:rsidRDefault="00116C88" w:rsidP="00116C88">
      <w:pPr>
        <w:pStyle w:val="Bibliography"/>
      </w:pPr>
      <w:r w:rsidRPr="00116C88">
        <w:t xml:space="preserve">Wang J, Hou W, Christensen MJ, et al (2020) Role of </w:t>
      </w:r>
      <w:r w:rsidRPr="00116C88">
        <w:rPr>
          <w:i/>
          <w:iCs/>
        </w:rPr>
        <w:t>Epichloë</w:t>
      </w:r>
      <w:r w:rsidRPr="00116C88">
        <w:t xml:space="preserve"> Endophytes in Improving Host Grass Resistance Ability and Soil Properties. J Agric Food Chem 68:6944–6955. https://doi.org/10.1021/acs.jafc.0c01396</w:t>
      </w:r>
    </w:p>
    <w:p w14:paraId="4449F560" w14:textId="77777777" w:rsidR="00116C88" w:rsidRPr="00116C88" w:rsidRDefault="00116C88" w:rsidP="00116C88">
      <w:pPr>
        <w:pStyle w:val="Bibliography"/>
      </w:pPr>
      <w:r w:rsidRPr="00116C88">
        <w:t xml:space="preserve">Weaver DK, </w:t>
      </w:r>
      <w:proofErr w:type="spellStart"/>
      <w:r w:rsidRPr="00116C88">
        <w:t>Buteler</w:t>
      </w:r>
      <w:proofErr w:type="spellEnd"/>
      <w:r w:rsidRPr="00116C88">
        <w:t xml:space="preserve"> M, Hofland ML, et al (2009) Cultivar preferences of ovipositing wheat stem sawflies as influenced by the amount of volatile attractant. Journal of Economic Entomology 102:1009–1017. https://doi.org/10.1603/029.102.0320</w:t>
      </w:r>
    </w:p>
    <w:p w14:paraId="645739D1" w14:textId="77777777" w:rsidR="00116C88" w:rsidRPr="00116C88" w:rsidRDefault="00116C88" w:rsidP="00116C88">
      <w:pPr>
        <w:pStyle w:val="Bibliography"/>
      </w:pPr>
      <w:r w:rsidRPr="00116C88">
        <w:t>Yue Q, Wang C, Gianfagna TJ, Meyer WA (2001) Volatile compounds of endophyte-free and infected tall fescue (</w:t>
      </w:r>
      <w:r w:rsidRPr="00116C88">
        <w:rPr>
          <w:i/>
          <w:iCs/>
        </w:rPr>
        <w:t>Festuca arundinacea</w:t>
      </w:r>
      <w:r w:rsidRPr="00116C88">
        <w:t xml:space="preserve"> </w:t>
      </w:r>
      <w:proofErr w:type="spellStart"/>
      <w:r w:rsidRPr="00116C88">
        <w:t>Schreb</w:t>
      </w:r>
      <w:proofErr w:type="spellEnd"/>
      <w:r w:rsidRPr="00116C88">
        <w:t>.). Phytochemistry 58:935–941. https://doi.org/10.1016/S0031-9422(01)00353-3</w:t>
      </w:r>
    </w:p>
    <w:p w14:paraId="0151EDE2" w14:textId="77777777" w:rsidR="00116C88" w:rsidRPr="00116C88" w:rsidRDefault="00116C88" w:rsidP="00116C88">
      <w:pPr>
        <w:pStyle w:val="Bibliography"/>
      </w:pPr>
      <w:r w:rsidRPr="00116C88">
        <w:t xml:space="preserve">Zhang L, Su Q, Wang L, et al (2023) Linalool: A ubiquitous floral volatile mediating the communication between plants and insects. J of </w:t>
      </w:r>
      <w:proofErr w:type="spellStart"/>
      <w:r w:rsidRPr="00116C88">
        <w:t>Sytematics</w:t>
      </w:r>
      <w:proofErr w:type="spellEnd"/>
      <w:r w:rsidRPr="00116C88">
        <w:t xml:space="preserve"> Evolution 61:538–549. https://doi.org/10.1111/jse.12930</w:t>
      </w:r>
    </w:p>
    <w:p w14:paraId="7AEC9BC9" w14:textId="3F1F9A3E" w:rsidR="00BE6F68" w:rsidRDefault="00BE6F68" w:rsidP="00116C88">
      <w:pPr>
        <w:pStyle w:val="Bibliography"/>
      </w:pPr>
      <w:r>
        <w:fldChar w:fldCharType="end"/>
      </w:r>
    </w:p>
    <w:sectPr w:rsidR="00BE6F68" w:rsidSect="00062E16">
      <w:footerReference w:type="even" r:id="rId10"/>
      <w:foot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11E7" w14:textId="77777777" w:rsidR="005F243A" w:rsidRDefault="005F243A" w:rsidP="002C753D">
      <w:pPr>
        <w:spacing w:line="240" w:lineRule="auto"/>
      </w:pPr>
      <w:r>
        <w:separator/>
      </w:r>
    </w:p>
  </w:endnote>
  <w:endnote w:type="continuationSeparator" w:id="0">
    <w:p w14:paraId="070AED3B" w14:textId="77777777" w:rsidR="005F243A" w:rsidRDefault="005F243A" w:rsidP="002C7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813214"/>
      <w:docPartObj>
        <w:docPartGallery w:val="Page Numbers (Bottom of Page)"/>
        <w:docPartUnique/>
      </w:docPartObj>
    </w:sdtPr>
    <w:sdtEndPr>
      <w:rPr>
        <w:rStyle w:val="PageNumber"/>
      </w:rPr>
    </w:sdtEndPr>
    <w:sdtContent>
      <w:p w14:paraId="610CA35F" w14:textId="218318D0" w:rsidR="00B3168A" w:rsidRDefault="00B316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8D8FC5" w14:textId="77777777" w:rsidR="00B3168A" w:rsidRDefault="00B316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8602184"/>
      <w:docPartObj>
        <w:docPartGallery w:val="Page Numbers (Bottom of Page)"/>
        <w:docPartUnique/>
      </w:docPartObj>
    </w:sdtPr>
    <w:sdtEndPr>
      <w:rPr>
        <w:rStyle w:val="PageNumber"/>
      </w:rPr>
    </w:sdtEndPr>
    <w:sdtContent>
      <w:p w14:paraId="4C458803" w14:textId="37BEDFF2" w:rsidR="00B3168A" w:rsidRDefault="00B316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527BC60" w14:textId="77777777" w:rsidR="00B3168A" w:rsidRDefault="00B31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C0481" w14:textId="77777777" w:rsidR="005F243A" w:rsidRDefault="005F243A" w:rsidP="002C753D">
      <w:pPr>
        <w:spacing w:line="240" w:lineRule="auto"/>
      </w:pPr>
      <w:r>
        <w:separator/>
      </w:r>
    </w:p>
  </w:footnote>
  <w:footnote w:type="continuationSeparator" w:id="0">
    <w:p w14:paraId="5090E89D" w14:textId="77777777" w:rsidR="005F243A" w:rsidRDefault="005F243A" w:rsidP="002C75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05FC"/>
    <w:multiLevelType w:val="hybridMultilevel"/>
    <w:tmpl w:val="7A8607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B219EA"/>
    <w:multiLevelType w:val="hybridMultilevel"/>
    <w:tmpl w:val="DC88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A1289"/>
    <w:multiLevelType w:val="hybridMultilevel"/>
    <w:tmpl w:val="A1D26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623F50"/>
    <w:multiLevelType w:val="hybridMultilevel"/>
    <w:tmpl w:val="5E380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121466"/>
    <w:multiLevelType w:val="hybridMultilevel"/>
    <w:tmpl w:val="A9E2CE00"/>
    <w:lvl w:ilvl="0" w:tplc="4420E7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8240F0"/>
    <w:multiLevelType w:val="hybridMultilevel"/>
    <w:tmpl w:val="DBE0CB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4B2A91"/>
    <w:multiLevelType w:val="hybridMultilevel"/>
    <w:tmpl w:val="847CE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73787F"/>
    <w:multiLevelType w:val="hybridMultilevel"/>
    <w:tmpl w:val="09602C4C"/>
    <w:lvl w:ilvl="0" w:tplc="5F2A3A90">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2268422">
    <w:abstractNumId w:val="0"/>
  </w:num>
  <w:num w:numId="2" w16cid:durableId="1499617984">
    <w:abstractNumId w:val="6"/>
  </w:num>
  <w:num w:numId="3" w16cid:durableId="1500078684">
    <w:abstractNumId w:val="5"/>
  </w:num>
  <w:num w:numId="4" w16cid:durableId="1571236417">
    <w:abstractNumId w:val="3"/>
  </w:num>
  <w:num w:numId="5" w16cid:durableId="2106680531">
    <w:abstractNumId w:val="7"/>
  </w:num>
  <w:num w:numId="6" w16cid:durableId="749426357">
    <w:abstractNumId w:val="1"/>
  </w:num>
  <w:num w:numId="7" w16cid:durableId="796219976">
    <w:abstractNumId w:val="2"/>
  </w:num>
  <w:num w:numId="8" w16cid:durableId="468133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CE1"/>
    <w:rsid w:val="0000203F"/>
    <w:rsid w:val="000025C7"/>
    <w:rsid w:val="00002A04"/>
    <w:rsid w:val="00003EE9"/>
    <w:rsid w:val="000047A7"/>
    <w:rsid w:val="00004FA6"/>
    <w:rsid w:val="00005531"/>
    <w:rsid w:val="00005606"/>
    <w:rsid w:val="000059E8"/>
    <w:rsid w:val="0000695A"/>
    <w:rsid w:val="00010B00"/>
    <w:rsid w:val="00010C9F"/>
    <w:rsid w:val="00010EB2"/>
    <w:rsid w:val="00011A29"/>
    <w:rsid w:val="000140A0"/>
    <w:rsid w:val="00014E7C"/>
    <w:rsid w:val="00016540"/>
    <w:rsid w:val="00016652"/>
    <w:rsid w:val="00017554"/>
    <w:rsid w:val="000202CC"/>
    <w:rsid w:val="0002033B"/>
    <w:rsid w:val="00020D13"/>
    <w:rsid w:val="00021E95"/>
    <w:rsid w:val="000224EC"/>
    <w:rsid w:val="0002284F"/>
    <w:rsid w:val="00023D65"/>
    <w:rsid w:val="00026E1C"/>
    <w:rsid w:val="000271E3"/>
    <w:rsid w:val="00027758"/>
    <w:rsid w:val="000303CC"/>
    <w:rsid w:val="00030616"/>
    <w:rsid w:val="00032273"/>
    <w:rsid w:val="00033580"/>
    <w:rsid w:val="00033B25"/>
    <w:rsid w:val="00034488"/>
    <w:rsid w:val="0003558E"/>
    <w:rsid w:val="00035635"/>
    <w:rsid w:val="00035760"/>
    <w:rsid w:val="000365E0"/>
    <w:rsid w:val="00040240"/>
    <w:rsid w:val="000407B8"/>
    <w:rsid w:val="00040F6C"/>
    <w:rsid w:val="000415EB"/>
    <w:rsid w:val="00041929"/>
    <w:rsid w:val="00041B95"/>
    <w:rsid w:val="0004272D"/>
    <w:rsid w:val="00042FF1"/>
    <w:rsid w:val="00044C94"/>
    <w:rsid w:val="000453E4"/>
    <w:rsid w:val="00045D5F"/>
    <w:rsid w:val="00050AE6"/>
    <w:rsid w:val="0005139C"/>
    <w:rsid w:val="00054602"/>
    <w:rsid w:val="0005527F"/>
    <w:rsid w:val="00056631"/>
    <w:rsid w:val="00056E6F"/>
    <w:rsid w:val="000576CF"/>
    <w:rsid w:val="0006151A"/>
    <w:rsid w:val="000615DC"/>
    <w:rsid w:val="00062E16"/>
    <w:rsid w:val="000631DC"/>
    <w:rsid w:val="000632CC"/>
    <w:rsid w:val="0006425C"/>
    <w:rsid w:val="00064674"/>
    <w:rsid w:val="00064C7E"/>
    <w:rsid w:val="00066A5D"/>
    <w:rsid w:val="00067366"/>
    <w:rsid w:val="00067626"/>
    <w:rsid w:val="00070B87"/>
    <w:rsid w:val="000719A0"/>
    <w:rsid w:val="00073582"/>
    <w:rsid w:val="000739BA"/>
    <w:rsid w:val="00073FE1"/>
    <w:rsid w:val="00074DFB"/>
    <w:rsid w:val="00075E32"/>
    <w:rsid w:val="00080235"/>
    <w:rsid w:val="0008030B"/>
    <w:rsid w:val="00080892"/>
    <w:rsid w:val="0008105F"/>
    <w:rsid w:val="000819DC"/>
    <w:rsid w:val="00081E1B"/>
    <w:rsid w:val="00082599"/>
    <w:rsid w:val="0008358D"/>
    <w:rsid w:val="000836A2"/>
    <w:rsid w:val="000850B5"/>
    <w:rsid w:val="00085F6A"/>
    <w:rsid w:val="00086D1C"/>
    <w:rsid w:val="00087444"/>
    <w:rsid w:val="00087F0F"/>
    <w:rsid w:val="00090519"/>
    <w:rsid w:val="00090DC5"/>
    <w:rsid w:val="0009212D"/>
    <w:rsid w:val="00092B90"/>
    <w:rsid w:val="00094299"/>
    <w:rsid w:val="00094E05"/>
    <w:rsid w:val="00095869"/>
    <w:rsid w:val="00096AFD"/>
    <w:rsid w:val="000A170F"/>
    <w:rsid w:val="000A1C08"/>
    <w:rsid w:val="000A2274"/>
    <w:rsid w:val="000A2497"/>
    <w:rsid w:val="000A26F4"/>
    <w:rsid w:val="000A2E54"/>
    <w:rsid w:val="000A433C"/>
    <w:rsid w:val="000A541C"/>
    <w:rsid w:val="000A5A90"/>
    <w:rsid w:val="000A768A"/>
    <w:rsid w:val="000A7A87"/>
    <w:rsid w:val="000B0236"/>
    <w:rsid w:val="000B04D7"/>
    <w:rsid w:val="000B06EB"/>
    <w:rsid w:val="000B0CFB"/>
    <w:rsid w:val="000B1973"/>
    <w:rsid w:val="000B21E1"/>
    <w:rsid w:val="000B22E2"/>
    <w:rsid w:val="000B3C26"/>
    <w:rsid w:val="000B4013"/>
    <w:rsid w:val="000B4336"/>
    <w:rsid w:val="000B72EE"/>
    <w:rsid w:val="000B7710"/>
    <w:rsid w:val="000C13C5"/>
    <w:rsid w:val="000C2475"/>
    <w:rsid w:val="000C30CD"/>
    <w:rsid w:val="000C41AB"/>
    <w:rsid w:val="000C4813"/>
    <w:rsid w:val="000C566B"/>
    <w:rsid w:val="000D00CB"/>
    <w:rsid w:val="000D05FB"/>
    <w:rsid w:val="000D199B"/>
    <w:rsid w:val="000D2546"/>
    <w:rsid w:val="000D2A88"/>
    <w:rsid w:val="000D5B9B"/>
    <w:rsid w:val="000D5F3A"/>
    <w:rsid w:val="000D663A"/>
    <w:rsid w:val="000D771F"/>
    <w:rsid w:val="000D773A"/>
    <w:rsid w:val="000E0884"/>
    <w:rsid w:val="000E16A4"/>
    <w:rsid w:val="000E4044"/>
    <w:rsid w:val="000E4590"/>
    <w:rsid w:val="000E517D"/>
    <w:rsid w:val="000E5559"/>
    <w:rsid w:val="000E5D26"/>
    <w:rsid w:val="000E6543"/>
    <w:rsid w:val="000E753D"/>
    <w:rsid w:val="000E7949"/>
    <w:rsid w:val="000F15F0"/>
    <w:rsid w:val="000F16DA"/>
    <w:rsid w:val="000F23E9"/>
    <w:rsid w:val="000F3F43"/>
    <w:rsid w:val="000F4599"/>
    <w:rsid w:val="000F5A83"/>
    <w:rsid w:val="000F7494"/>
    <w:rsid w:val="00101958"/>
    <w:rsid w:val="00101B41"/>
    <w:rsid w:val="00102123"/>
    <w:rsid w:val="00102504"/>
    <w:rsid w:val="00102D04"/>
    <w:rsid w:val="001047A3"/>
    <w:rsid w:val="00105371"/>
    <w:rsid w:val="00107BBB"/>
    <w:rsid w:val="00107CDF"/>
    <w:rsid w:val="00110079"/>
    <w:rsid w:val="0011140A"/>
    <w:rsid w:val="0011166B"/>
    <w:rsid w:val="001132AD"/>
    <w:rsid w:val="00113454"/>
    <w:rsid w:val="001143FC"/>
    <w:rsid w:val="00114812"/>
    <w:rsid w:val="00115508"/>
    <w:rsid w:val="00115FF3"/>
    <w:rsid w:val="00116C88"/>
    <w:rsid w:val="001175AC"/>
    <w:rsid w:val="001206A0"/>
    <w:rsid w:val="00120C8F"/>
    <w:rsid w:val="00121900"/>
    <w:rsid w:val="001244F4"/>
    <w:rsid w:val="00125601"/>
    <w:rsid w:val="0012597A"/>
    <w:rsid w:val="00125D65"/>
    <w:rsid w:val="0013052E"/>
    <w:rsid w:val="00130EA0"/>
    <w:rsid w:val="00131270"/>
    <w:rsid w:val="00131B4A"/>
    <w:rsid w:val="001330B5"/>
    <w:rsid w:val="001333A3"/>
    <w:rsid w:val="00133E89"/>
    <w:rsid w:val="00133F0E"/>
    <w:rsid w:val="00133F62"/>
    <w:rsid w:val="00134325"/>
    <w:rsid w:val="00134C6E"/>
    <w:rsid w:val="001370B9"/>
    <w:rsid w:val="00140B71"/>
    <w:rsid w:val="001412B0"/>
    <w:rsid w:val="00141DFF"/>
    <w:rsid w:val="00142841"/>
    <w:rsid w:val="001429DE"/>
    <w:rsid w:val="001442C1"/>
    <w:rsid w:val="001444F0"/>
    <w:rsid w:val="00145758"/>
    <w:rsid w:val="0014648F"/>
    <w:rsid w:val="00146505"/>
    <w:rsid w:val="00146E80"/>
    <w:rsid w:val="00147E35"/>
    <w:rsid w:val="00151A5C"/>
    <w:rsid w:val="001522B6"/>
    <w:rsid w:val="001559E2"/>
    <w:rsid w:val="001577D9"/>
    <w:rsid w:val="001609D1"/>
    <w:rsid w:val="00164F16"/>
    <w:rsid w:val="00165902"/>
    <w:rsid w:val="001659F1"/>
    <w:rsid w:val="0017039E"/>
    <w:rsid w:val="00173408"/>
    <w:rsid w:val="00174625"/>
    <w:rsid w:val="001753C6"/>
    <w:rsid w:val="00176C48"/>
    <w:rsid w:val="00177D31"/>
    <w:rsid w:val="00177EEE"/>
    <w:rsid w:val="00177FBC"/>
    <w:rsid w:val="00180CA5"/>
    <w:rsid w:val="00181881"/>
    <w:rsid w:val="001818C7"/>
    <w:rsid w:val="0018262B"/>
    <w:rsid w:val="00182A7F"/>
    <w:rsid w:val="001847CE"/>
    <w:rsid w:val="00187F0C"/>
    <w:rsid w:val="0019006F"/>
    <w:rsid w:val="00190A8A"/>
    <w:rsid w:val="00191FCE"/>
    <w:rsid w:val="0019221E"/>
    <w:rsid w:val="0019632B"/>
    <w:rsid w:val="001963DA"/>
    <w:rsid w:val="00197BF0"/>
    <w:rsid w:val="001A106C"/>
    <w:rsid w:val="001A14D7"/>
    <w:rsid w:val="001A169E"/>
    <w:rsid w:val="001A33BB"/>
    <w:rsid w:val="001A51AE"/>
    <w:rsid w:val="001A529D"/>
    <w:rsid w:val="001A5766"/>
    <w:rsid w:val="001A6244"/>
    <w:rsid w:val="001A6879"/>
    <w:rsid w:val="001A68F3"/>
    <w:rsid w:val="001A701D"/>
    <w:rsid w:val="001A7964"/>
    <w:rsid w:val="001A7B7C"/>
    <w:rsid w:val="001A7E6F"/>
    <w:rsid w:val="001A7E9B"/>
    <w:rsid w:val="001B1E12"/>
    <w:rsid w:val="001B2B99"/>
    <w:rsid w:val="001B2C5E"/>
    <w:rsid w:val="001B39A0"/>
    <w:rsid w:val="001B3B14"/>
    <w:rsid w:val="001B586C"/>
    <w:rsid w:val="001B6263"/>
    <w:rsid w:val="001B7338"/>
    <w:rsid w:val="001B7F60"/>
    <w:rsid w:val="001C18C2"/>
    <w:rsid w:val="001C3595"/>
    <w:rsid w:val="001C38A8"/>
    <w:rsid w:val="001C4305"/>
    <w:rsid w:val="001C476D"/>
    <w:rsid w:val="001C48ED"/>
    <w:rsid w:val="001C5ED2"/>
    <w:rsid w:val="001C7492"/>
    <w:rsid w:val="001C7C26"/>
    <w:rsid w:val="001D1AF4"/>
    <w:rsid w:val="001D22D1"/>
    <w:rsid w:val="001D343E"/>
    <w:rsid w:val="001D3526"/>
    <w:rsid w:val="001D4067"/>
    <w:rsid w:val="001D57BB"/>
    <w:rsid w:val="001D5E32"/>
    <w:rsid w:val="001D6CAF"/>
    <w:rsid w:val="001D6E8D"/>
    <w:rsid w:val="001E00E1"/>
    <w:rsid w:val="001E00EC"/>
    <w:rsid w:val="001E17BA"/>
    <w:rsid w:val="001E2935"/>
    <w:rsid w:val="001E38D7"/>
    <w:rsid w:val="001E439F"/>
    <w:rsid w:val="001E4EC6"/>
    <w:rsid w:val="001E70E6"/>
    <w:rsid w:val="001E7158"/>
    <w:rsid w:val="001E737B"/>
    <w:rsid w:val="001E7B0F"/>
    <w:rsid w:val="001F0801"/>
    <w:rsid w:val="001F0BF3"/>
    <w:rsid w:val="001F0D32"/>
    <w:rsid w:val="001F2676"/>
    <w:rsid w:val="001F35A4"/>
    <w:rsid w:val="001F38B8"/>
    <w:rsid w:val="001F4011"/>
    <w:rsid w:val="001F450B"/>
    <w:rsid w:val="001F5ACE"/>
    <w:rsid w:val="001F5DA6"/>
    <w:rsid w:val="001F5FE7"/>
    <w:rsid w:val="001F63E3"/>
    <w:rsid w:val="001F65C4"/>
    <w:rsid w:val="001F6BB8"/>
    <w:rsid w:val="001F6F35"/>
    <w:rsid w:val="001F7462"/>
    <w:rsid w:val="001F74E3"/>
    <w:rsid w:val="00201B93"/>
    <w:rsid w:val="00202468"/>
    <w:rsid w:val="00202EA6"/>
    <w:rsid w:val="0020431A"/>
    <w:rsid w:val="002046F5"/>
    <w:rsid w:val="00204D9F"/>
    <w:rsid w:val="00207FFB"/>
    <w:rsid w:val="00210290"/>
    <w:rsid w:val="0021037C"/>
    <w:rsid w:val="00210C7F"/>
    <w:rsid w:val="00210EEB"/>
    <w:rsid w:val="0021125B"/>
    <w:rsid w:val="0021148F"/>
    <w:rsid w:val="00211605"/>
    <w:rsid w:val="00213134"/>
    <w:rsid w:val="002149E4"/>
    <w:rsid w:val="00214F4C"/>
    <w:rsid w:val="00215558"/>
    <w:rsid w:val="002158FF"/>
    <w:rsid w:val="00215B92"/>
    <w:rsid w:val="00215D52"/>
    <w:rsid w:val="00215EE2"/>
    <w:rsid w:val="00215F9F"/>
    <w:rsid w:val="00216560"/>
    <w:rsid w:val="0021674C"/>
    <w:rsid w:val="00217F4F"/>
    <w:rsid w:val="00221D5D"/>
    <w:rsid w:val="00221E7F"/>
    <w:rsid w:val="00222AAA"/>
    <w:rsid w:val="00223D1C"/>
    <w:rsid w:val="00224A01"/>
    <w:rsid w:val="0023063A"/>
    <w:rsid w:val="00230E3D"/>
    <w:rsid w:val="002318E9"/>
    <w:rsid w:val="002374CC"/>
    <w:rsid w:val="00240B0B"/>
    <w:rsid w:val="00242568"/>
    <w:rsid w:val="00245C68"/>
    <w:rsid w:val="00250769"/>
    <w:rsid w:val="00251CBB"/>
    <w:rsid w:val="0025359C"/>
    <w:rsid w:val="002545EF"/>
    <w:rsid w:val="00254742"/>
    <w:rsid w:val="0025571B"/>
    <w:rsid w:val="00255E3F"/>
    <w:rsid w:val="00256216"/>
    <w:rsid w:val="00256852"/>
    <w:rsid w:val="00256C31"/>
    <w:rsid w:val="00257F6C"/>
    <w:rsid w:val="002630E2"/>
    <w:rsid w:val="00263B56"/>
    <w:rsid w:val="0026415B"/>
    <w:rsid w:val="00264205"/>
    <w:rsid w:val="0026468B"/>
    <w:rsid w:val="0026528D"/>
    <w:rsid w:val="00265970"/>
    <w:rsid w:val="002675D6"/>
    <w:rsid w:val="002715B9"/>
    <w:rsid w:val="00272174"/>
    <w:rsid w:val="00272DEB"/>
    <w:rsid w:val="00272E44"/>
    <w:rsid w:val="0027376B"/>
    <w:rsid w:val="00274CE1"/>
    <w:rsid w:val="002766F7"/>
    <w:rsid w:val="00276E1A"/>
    <w:rsid w:val="00277230"/>
    <w:rsid w:val="00277443"/>
    <w:rsid w:val="00280058"/>
    <w:rsid w:val="002802F2"/>
    <w:rsid w:val="002830E6"/>
    <w:rsid w:val="002837EE"/>
    <w:rsid w:val="00283ABB"/>
    <w:rsid w:val="00285D70"/>
    <w:rsid w:val="0028621D"/>
    <w:rsid w:val="002864C1"/>
    <w:rsid w:val="002879D7"/>
    <w:rsid w:val="00287B56"/>
    <w:rsid w:val="002909E0"/>
    <w:rsid w:val="002914E0"/>
    <w:rsid w:val="002918DD"/>
    <w:rsid w:val="00291EF9"/>
    <w:rsid w:val="00292353"/>
    <w:rsid w:val="00292BB3"/>
    <w:rsid w:val="002930F6"/>
    <w:rsid w:val="00293F98"/>
    <w:rsid w:val="0029594A"/>
    <w:rsid w:val="00296647"/>
    <w:rsid w:val="00296867"/>
    <w:rsid w:val="00297CEB"/>
    <w:rsid w:val="002A1711"/>
    <w:rsid w:val="002A1BD7"/>
    <w:rsid w:val="002A23BA"/>
    <w:rsid w:val="002A3524"/>
    <w:rsid w:val="002A3846"/>
    <w:rsid w:val="002A39E9"/>
    <w:rsid w:val="002A4DB5"/>
    <w:rsid w:val="002A5BE2"/>
    <w:rsid w:val="002A7EB3"/>
    <w:rsid w:val="002B1A1B"/>
    <w:rsid w:val="002B2299"/>
    <w:rsid w:val="002B3619"/>
    <w:rsid w:val="002B3D44"/>
    <w:rsid w:val="002B4B60"/>
    <w:rsid w:val="002B4B8B"/>
    <w:rsid w:val="002B561E"/>
    <w:rsid w:val="002B5E7A"/>
    <w:rsid w:val="002B7E4F"/>
    <w:rsid w:val="002C0590"/>
    <w:rsid w:val="002C2805"/>
    <w:rsid w:val="002C346B"/>
    <w:rsid w:val="002C3E8F"/>
    <w:rsid w:val="002C4C33"/>
    <w:rsid w:val="002C4E35"/>
    <w:rsid w:val="002C53D3"/>
    <w:rsid w:val="002C6101"/>
    <w:rsid w:val="002C6D02"/>
    <w:rsid w:val="002C753D"/>
    <w:rsid w:val="002D0052"/>
    <w:rsid w:val="002D05F6"/>
    <w:rsid w:val="002D10C6"/>
    <w:rsid w:val="002D2443"/>
    <w:rsid w:val="002D26A9"/>
    <w:rsid w:val="002D27DA"/>
    <w:rsid w:val="002D4AAA"/>
    <w:rsid w:val="002D505F"/>
    <w:rsid w:val="002D50A0"/>
    <w:rsid w:val="002D5EAA"/>
    <w:rsid w:val="002D5F0F"/>
    <w:rsid w:val="002D6759"/>
    <w:rsid w:val="002D7BFD"/>
    <w:rsid w:val="002D7CD0"/>
    <w:rsid w:val="002E05C6"/>
    <w:rsid w:val="002E0FD6"/>
    <w:rsid w:val="002E13D5"/>
    <w:rsid w:val="002E1408"/>
    <w:rsid w:val="002E334D"/>
    <w:rsid w:val="002E448B"/>
    <w:rsid w:val="002E54F2"/>
    <w:rsid w:val="002E5738"/>
    <w:rsid w:val="002E574A"/>
    <w:rsid w:val="002E5758"/>
    <w:rsid w:val="002E7965"/>
    <w:rsid w:val="002F11D2"/>
    <w:rsid w:val="002F1853"/>
    <w:rsid w:val="002F18B2"/>
    <w:rsid w:val="002F316E"/>
    <w:rsid w:val="002F3CE1"/>
    <w:rsid w:val="002F4061"/>
    <w:rsid w:val="002F41C4"/>
    <w:rsid w:val="002F48CB"/>
    <w:rsid w:val="002F49A8"/>
    <w:rsid w:val="002F4AA5"/>
    <w:rsid w:val="002F4DA7"/>
    <w:rsid w:val="002F5212"/>
    <w:rsid w:val="002F6D86"/>
    <w:rsid w:val="002F7394"/>
    <w:rsid w:val="002F740A"/>
    <w:rsid w:val="003015CF"/>
    <w:rsid w:val="00302194"/>
    <w:rsid w:val="003031AA"/>
    <w:rsid w:val="00303B04"/>
    <w:rsid w:val="0030442F"/>
    <w:rsid w:val="00304B5B"/>
    <w:rsid w:val="00305CAD"/>
    <w:rsid w:val="0030601A"/>
    <w:rsid w:val="00306C12"/>
    <w:rsid w:val="00307E3A"/>
    <w:rsid w:val="00310D15"/>
    <w:rsid w:val="003131E2"/>
    <w:rsid w:val="00313B39"/>
    <w:rsid w:val="003148A8"/>
    <w:rsid w:val="00314A66"/>
    <w:rsid w:val="003164F7"/>
    <w:rsid w:val="0031651A"/>
    <w:rsid w:val="00316CD5"/>
    <w:rsid w:val="003175FD"/>
    <w:rsid w:val="0031767D"/>
    <w:rsid w:val="00317E6F"/>
    <w:rsid w:val="00320B40"/>
    <w:rsid w:val="00321C88"/>
    <w:rsid w:val="0032272A"/>
    <w:rsid w:val="0032323B"/>
    <w:rsid w:val="0032353D"/>
    <w:rsid w:val="00323944"/>
    <w:rsid w:val="00323C50"/>
    <w:rsid w:val="003248B2"/>
    <w:rsid w:val="00324BE0"/>
    <w:rsid w:val="00326C4B"/>
    <w:rsid w:val="00330168"/>
    <w:rsid w:val="0033133C"/>
    <w:rsid w:val="00332699"/>
    <w:rsid w:val="003328FF"/>
    <w:rsid w:val="00332DAA"/>
    <w:rsid w:val="00333205"/>
    <w:rsid w:val="00333299"/>
    <w:rsid w:val="00333C29"/>
    <w:rsid w:val="00333D9F"/>
    <w:rsid w:val="00334D7B"/>
    <w:rsid w:val="00340C5C"/>
    <w:rsid w:val="00343839"/>
    <w:rsid w:val="00343CC6"/>
    <w:rsid w:val="0034404C"/>
    <w:rsid w:val="00344188"/>
    <w:rsid w:val="003441F5"/>
    <w:rsid w:val="003447DB"/>
    <w:rsid w:val="003454F0"/>
    <w:rsid w:val="00346371"/>
    <w:rsid w:val="0034664C"/>
    <w:rsid w:val="00346908"/>
    <w:rsid w:val="00346E6B"/>
    <w:rsid w:val="00346FE6"/>
    <w:rsid w:val="00347E06"/>
    <w:rsid w:val="00350533"/>
    <w:rsid w:val="00351FC5"/>
    <w:rsid w:val="00352927"/>
    <w:rsid w:val="00353270"/>
    <w:rsid w:val="003549D3"/>
    <w:rsid w:val="003552EF"/>
    <w:rsid w:val="0035590E"/>
    <w:rsid w:val="003578F7"/>
    <w:rsid w:val="00360BBA"/>
    <w:rsid w:val="00360CCF"/>
    <w:rsid w:val="00360FBF"/>
    <w:rsid w:val="00361457"/>
    <w:rsid w:val="003617FC"/>
    <w:rsid w:val="00361C44"/>
    <w:rsid w:val="00361D2E"/>
    <w:rsid w:val="00361FC7"/>
    <w:rsid w:val="003628E5"/>
    <w:rsid w:val="0036325E"/>
    <w:rsid w:val="0036484C"/>
    <w:rsid w:val="00364B5E"/>
    <w:rsid w:val="0036744D"/>
    <w:rsid w:val="00370B4E"/>
    <w:rsid w:val="00372346"/>
    <w:rsid w:val="0037296D"/>
    <w:rsid w:val="00373738"/>
    <w:rsid w:val="003744A4"/>
    <w:rsid w:val="00376489"/>
    <w:rsid w:val="00376631"/>
    <w:rsid w:val="00376877"/>
    <w:rsid w:val="00376B3A"/>
    <w:rsid w:val="00377DA6"/>
    <w:rsid w:val="00380118"/>
    <w:rsid w:val="00380B59"/>
    <w:rsid w:val="003811D5"/>
    <w:rsid w:val="003812C7"/>
    <w:rsid w:val="00383733"/>
    <w:rsid w:val="0038478C"/>
    <w:rsid w:val="0038519A"/>
    <w:rsid w:val="00385C6E"/>
    <w:rsid w:val="0038687C"/>
    <w:rsid w:val="00386A6C"/>
    <w:rsid w:val="00387741"/>
    <w:rsid w:val="00387764"/>
    <w:rsid w:val="00390144"/>
    <w:rsid w:val="00390AA8"/>
    <w:rsid w:val="00391B8D"/>
    <w:rsid w:val="00391F0E"/>
    <w:rsid w:val="0039272B"/>
    <w:rsid w:val="003941FF"/>
    <w:rsid w:val="003949DB"/>
    <w:rsid w:val="003959B1"/>
    <w:rsid w:val="003962B0"/>
    <w:rsid w:val="00396CF9"/>
    <w:rsid w:val="0039762D"/>
    <w:rsid w:val="003976BE"/>
    <w:rsid w:val="003977AB"/>
    <w:rsid w:val="00397BDB"/>
    <w:rsid w:val="003A0695"/>
    <w:rsid w:val="003A06D8"/>
    <w:rsid w:val="003A385A"/>
    <w:rsid w:val="003A3E75"/>
    <w:rsid w:val="003A411A"/>
    <w:rsid w:val="003A453B"/>
    <w:rsid w:val="003A4868"/>
    <w:rsid w:val="003A4A08"/>
    <w:rsid w:val="003A57C4"/>
    <w:rsid w:val="003A6751"/>
    <w:rsid w:val="003B0211"/>
    <w:rsid w:val="003B04B0"/>
    <w:rsid w:val="003B16EE"/>
    <w:rsid w:val="003B196C"/>
    <w:rsid w:val="003B40DA"/>
    <w:rsid w:val="003B53B9"/>
    <w:rsid w:val="003B61D9"/>
    <w:rsid w:val="003B72CC"/>
    <w:rsid w:val="003B756A"/>
    <w:rsid w:val="003C0699"/>
    <w:rsid w:val="003C25B1"/>
    <w:rsid w:val="003C29DC"/>
    <w:rsid w:val="003C2CE7"/>
    <w:rsid w:val="003C5E76"/>
    <w:rsid w:val="003D0F99"/>
    <w:rsid w:val="003D14CB"/>
    <w:rsid w:val="003D1629"/>
    <w:rsid w:val="003D28E0"/>
    <w:rsid w:val="003D4106"/>
    <w:rsid w:val="003D42DB"/>
    <w:rsid w:val="003D4645"/>
    <w:rsid w:val="003D5E25"/>
    <w:rsid w:val="003D7462"/>
    <w:rsid w:val="003D7A09"/>
    <w:rsid w:val="003D7D14"/>
    <w:rsid w:val="003E04D4"/>
    <w:rsid w:val="003E0C86"/>
    <w:rsid w:val="003E17CE"/>
    <w:rsid w:val="003E286A"/>
    <w:rsid w:val="003E30F2"/>
    <w:rsid w:val="003E322B"/>
    <w:rsid w:val="003E3C23"/>
    <w:rsid w:val="003E4787"/>
    <w:rsid w:val="003E4AC4"/>
    <w:rsid w:val="003F0E37"/>
    <w:rsid w:val="003F22C7"/>
    <w:rsid w:val="003F3525"/>
    <w:rsid w:val="003F43C5"/>
    <w:rsid w:val="003F4635"/>
    <w:rsid w:val="003F527E"/>
    <w:rsid w:val="003F5E40"/>
    <w:rsid w:val="003F613B"/>
    <w:rsid w:val="003F7C5D"/>
    <w:rsid w:val="0040068B"/>
    <w:rsid w:val="00401A8A"/>
    <w:rsid w:val="0040343C"/>
    <w:rsid w:val="00403936"/>
    <w:rsid w:val="0040630C"/>
    <w:rsid w:val="004063B3"/>
    <w:rsid w:val="004116FA"/>
    <w:rsid w:val="0041179D"/>
    <w:rsid w:val="00411899"/>
    <w:rsid w:val="004123A6"/>
    <w:rsid w:val="00413157"/>
    <w:rsid w:val="00413587"/>
    <w:rsid w:val="00414ECD"/>
    <w:rsid w:val="00415A81"/>
    <w:rsid w:val="00415DB9"/>
    <w:rsid w:val="0041625F"/>
    <w:rsid w:val="00416B3D"/>
    <w:rsid w:val="00417308"/>
    <w:rsid w:val="004174CB"/>
    <w:rsid w:val="004178A5"/>
    <w:rsid w:val="00421919"/>
    <w:rsid w:val="0042258F"/>
    <w:rsid w:val="00424AE5"/>
    <w:rsid w:val="00425D7A"/>
    <w:rsid w:val="00426B96"/>
    <w:rsid w:val="00426BBD"/>
    <w:rsid w:val="00426D07"/>
    <w:rsid w:val="0043044A"/>
    <w:rsid w:val="00430978"/>
    <w:rsid w:val="00430EC0"/>
    <w:rsid w:val="004341A1"/>
    <w:rsid w:val="0043699F"/>
    <w:rsid w:val="00437524"/>
    <w:rsid w:val="00440253"/>
    <w:rsid w:val="00442E98"/>
    <w:rsid w:val="00444A62"/>
    <w:rsid w:val="00445E64"/>
    <w:rsid w:val="00446D09"/>
    <w:rsid w:val="00446E9E"/>
    <w:rsid w:val="00446F82"/>
    <w:rsid w:val="004472E8"/>
    <w:rsid w:val="00450617"/>
    <w:rsid w:val="0045105C"/>
    <w:rsid w:val="004515ED"/>
    <w:rsid w:val="00451F38"/>
    <w:rsid w:val="00452124"/>
    <w:rsid w:val="00454724"/>
    <w:rsid w:val="00455A4E"/>
    <w:rsid w:val="00455E77"/>
    <w:rsid w:val="00460A76"/>
    <w:rsid w:val="00460C3C"/>
    <w:rsid w:val="00460DBC"/>
    <w:rsid w:val="00461A04"/>
    <w:rsid w:val="00462991"/>
    <w:rsid w:val="00463E57"/>
    <w:rsid w:val="00464FE7"/>
    <w:rsid w:val="00465BAD"/>
    <w:rsid w:val="00466CD8"/>
    <w:rsid w:val="00466E04"/>
    <w:rsid w:val="0046797F"/>
    <w:rsid w:val="00467EC7"/>
    <w:rsid w:val="004712E2"/>
    <w:rsid w:val="00471DD2"/>
    <w:rsid w:val="00472FD2"/>
    <w:rsid w:val="004731D6"/>
    <w:rsid w:val="00473338"/>
    <w:rsid w:val="00474413"/>
    <w:rsid w:val="004751CA"/>
    <w:rsid w:val="00475671"/>
    <w:rsid w:val="004757FB"/>
    <w:rsid w:val="00475AE7"/>
    <w:rsid w:val="0047606A"/>
    <w:rsid w:val="00476CEA"/>
    <w:rsid w:val="00477A6F"/>
    <w:rsid w:val="00482FC7"/>
    <w:rsid w:val="00484338"/>
    <w:rsid w:val="004847DF"/>
    <w:rsid w:val="004851A4"/>
    <w:rsid w:val="0048525F"/>
    <w:rsid w:val="00485DFD"/>
    <w:rsid w:val="00486953"/>
    <w:rsid w:val="00486AEC"/>
    <w:rsid w:val="0049019A"/>
    <w:rsid w:val="00490B94"/>
    <w:rsid w:val="004918A9"/>
    <w:rsid w:val="00491D26"/>
    <w:rsid w:val="00492359"/>
    <w:rsid w:val="00493276"/>
    <w:rsid w:val="004954F8"/>
    <w:rsid w:val="00495765"/>
    <w:rsid w:val="004963C2"/>
    <w:rsid w:val="004970E7"/>
    <w:rsid w:val="004A01E4"/>
    <w:rsid w:val="004A0C69"/>
    <w:rsid w:val="004A1EDA"/>
    <w:rsid w:val="004A3064"/>
    <w:rsid w:val="004A5703"/>
    <w:rsid w:val="004A58B2"/>
    <w:rsid w:val="004A6692"/>
    <w:rsid w:val="004A6B9F"/>
    <w:rsid w:val="004A7F97"/>
    <w:rsid w:val="004B0552"/>
    <w:rsid w:val="004B0871"/>
    <w:rsid w:val="004B31C7"/>
    <w:rsid w:val="004B45FD"/>
    <w:rsid w:val="004B4F07"/>
    <w:rsid w:val="004B531F"/>
    <w:rsid w:val="004B6EDB"/>
    <w:rsid w:val="004B792C"/>
    <w:rsid w:val="004B7BA1"/>
    <w:rsid w:val="004C06E2"/>
    <w:rsid w:val="004C0FAA"/>
    <w:rsid w:val="004C117B"/>
    <w:rsid w:val="004C2694"/>
    <w:rsid w:val="004C29D6"/>
    <w:rsid w:val="004C2B2A"/>
    <w:rsid w:val="004C2F7F"/>
    <w:rsid w:val="004C358C"/>
    <w:rsid w:val="004C3B38"/>
    <w:rsid w:val="004C4045"/>
    <w:rsid w:val="004C4410"/>
    <w:rsid w:val="004C453D"/>
    <w:rsid w:val="004C47B6"/>
    <w:rsid w:val="004C6871"/>
    <w:rsid w:val="004C7560"/>
    <w:rsid w:val="004C785E"/>
    <w:rsid w:val="004C78AB"/>
    <w:rsid w:val="004D0F8F"/>
    <w:rsid w:val="004D1355"/>
    <w:rsid w:val="004D22FE"/>
    <w:rsid w:val="004D2E49"/>
    <w:rsid w:val="004D3314"/>
    <w:rsid w:val="004D33E4"/>
    <w:rsid w:val="004D3E71"/>
    <w:rsid w:val="004D3EC1"/>
    <w:rsid w:val="004D5A7A"/>
    <w:rsid w:val="004D6540"/>
    <w:rsid w:val="004D6B4B"/>
    <w:rsid w:val="004D6E36"/>
    <w:rsid w:val="004E1F36"/>
    <w:rsid w:val="004E237B"/>
    <w:rsid w:val="004E2E84"/>
    <w:rsid w:val="004E3DED"/>
    <w:rsid w:val="004E43DA"/>
    <w:rsid w:val="004E5412"/>
    <w:rsid w:val="004E62AA"/>
    <w:rsid w:val="004E6EE6"/>
    <w:rsid w:val="004E6F9C"/>
    <w:rsid w:val="004F0BD4"/>
    <w:rsid w:val="004F1421"/>
    <w:rsid w:val="004F256B"/>
    <w:rsid w:val="004F406A"/>
    <w:rsid w:val="004F4243"/>
    <w:rsid w:val="004F54AD"/>
    <w:rsid w:val="004F740B"/>
    <w:rsid w:val="00501379"/>
    <w:rsid w:val="00501402"/>
    <w:rsid w:val="0050153E"/>
    <w:rsid w:val="00501960"/>
    <w:rsid w:val="005030F9"/>
    <w:rsid w:val="00503373"/>
    <w:rsid w:val="00503B17"/>
    <w:rsid w:val="005055E6"/>
    <w:rsid w:val="005057EE"/>
    <w:rsid w:val="00505B73"/>
    <w:rsid w:val="00510217"/>
    <w:rsid w:val="0051050C"/>
    <w:rsid w:val="00510FDC"/>
    <w:rsid w:val="00511E9E"/>
    <w:rsid w:val="00512066"/>
    <w:rsid w:val="00512FAD"/>
    <w:rsid w:val="00513CEF"/>
    <w:rsid w:val="00513D33"/>
    <w:rsid w:val="005147E0"/>
    <w:rsid w:val="0051641E"/>
    <w:rsid w:val="005207C4"/>
    <w:rsid w:val="00520C29"/>
    <w:rsid w:val="00520DF4"/>
    <w:rsid w:val="00521905"/>
    <w:rsid w:val="00522460"/>
    <w:rsid w:val="0052251E"/>
    <w:rsid w:val="005225CC"/>
    <w:rsid w:val="00522BD8"/>
    <w:rsid w:val="00522FC5"/>
    <w:rsid w:val="005234B1"/>
    <w:rsid w:val="00524D0D"/>
    <w:rsid w:val="00524DC7"/>
    <w:rsid w:val="00524ED9"/>
    <w:rsid w:val="005255EA"/>
    <w:rsid w:val="00526370"/>
    <w:rsid w:val="00527497"/>
    <w:rsid w:val="005301BC"/>
    <w:rsid w:val="00531AEB"/>
    <w:rsid w:val="0053247D"/>
    <w:rsid w:val="00534EF9"/>
    <w:rsid w:val="00535E5E"/>
    <w:rsid w:val="00535E86"/>
    <w:rsid w:val="005377CE"/>
    <w:rsid w:val="0054056F"/>
    <w:rsid w:val="005414E0"/>
    <w:rsid w:val="00544E99"/>
    <w:rsid w:val="00545BAE"/>
    <w:rsid w:val="00546611"/>
    <w:rsid w:val="00546A50"/>
    <w:rsid w:val="00547412"/>
    <w:rsid w:val="00547547"/>
    <w:rsid w:val="005504B0"/>
    <w:rsid w:val="005508CA"/>
    <w:rsid w:val="00551756"/>
    <w:rsid w:val="00551E8A"/>
    <w:rsid w:val="00552111"/>
    <w:rsid w:val="005530A4"/>
    <w:rsid w:val="00553689"/>
    <w:rsid w:val="005623A4"/>
    <w:rsid w:val="00562A3C"/>
    <w:rsid w:val="00562AD5"/>
    <w:rsid w:val="00562F77"/>
    <w:rsid w:val="005632BE"/>
    <w:rsid w:val="00565127"/>
    <w:rsid w:val="00565ED1"/>
    <w:rsid w:val="0056790A"/>
    <w:rsid w:val="00570CB4"/>
    <w:rsid w:val="00572440"/>
    <w:rsid w:val="005724FA"/>
    <w:rsid w:val="0057250D"/>
    <w:rsid w:val="005727AC"/>
    <w:rsid w:val="00572BD9"/>
    <w:rsid w:val="00572D77"/>
    <w:rsid w:val="00572EFC"/>
    <w:rsid w:val="0057703C"/>
    <w:rsid w:val="00577B93"/>
    <w:rsid w:val="00580D3F"/>
    <w:rsid w:val="0058217D"/>
    <w:rsid w:val="00583485"/>
    <w:rsid w:val="0058374E"/>
    <w:rsid w:val="00583B22"/>
    <w:rsid w:val="00585001"/>
    <w:rsid w:val="005859A2"/>
    <w:rsid w:val="00585DFC"/>
    <w:rsid w:val="00585FD0"/>
    <w:rsid w:val="005862D0"/>
    <w:rsid w:val="0058656B"/>
    <w:rsid w:val="005869C1"/>
    <w:rsid w:val="00586B42"/>
    <w:rsid w:val="00587E32"/>
    <w:rsid w:val="00587E82"/>
    <w:rsid w:val="005904B1"/>
    <w:rsid w:val="00591586"/>
    <w:rsid w:val="00592C5E"/>
    <w:rsid w:val="0059461F"/>
    <w:rsid w:val="005A0943"/>
    <w:rsid w:val="005A0D0C"/>
    <w:rsid w:val="005A13FE"/>
    <w:rsid w:val="005A19E9"/>
    <w:rsid w:val="005A19F2"/>
    <w:rsid w:val="005A30DB"/>
    <w:rsid w:val="005A43EF"/>
    <w:rsid w:val="005A549E"/>
    <w:rsid w:val="005A5F54"/>
    <w:rsid w:val="005B061F"/>
    <w:rsid w:val="005B070E"/>
    <w:rsid w:val="005B10DE"/>
    <w:rsid w:val="005B2B0D"/>
    <w:rsid w:val="005B3A32"/>
    <w:rsid w:val="005B3B06"/>
    <w:rsid w:val="005B3F8C"/>
    <w:rsid w:val="005B6FFD"/>
    <w:rsid w:val="005B7618"/>
    <w:rsid w:val="005C0164"/>
    <w:rsid w:val="005C1C45"/>
    <w:rsid w:val="005C2669"/>
    <w:rsid w:val="005C3464"/>
    <w:rsid w:val="005C360F"/>
    <w:rsid w:val="005C3D54"/>
    <w:rsid w:val="005C3E45"/>
    <w:rsid w:val="005C40A7"/>
    <w:rsid w:val="005C4928"/>
    <w:rsid w:val="005C4A82"/>
    <w:rsid w:val="005C6A8C"/>
    <w:rsid w:val="005C76AA"/>
    <w:rsid w:val="005C787F"/>
    <w:rsid w:val="005C7CEA"/>
    <w:rsid w:val="005C7D49"/>
    <w:rsid w:val="005D0117"/>
    <w:rsid w:val="005D06E8"/>
    <w:rsid w:val="005D1769"/>
    <w:rsid w:val="005D26B2"/>
    <w:rsid w:val="005D31FB"/>
    <w:rsid w:val="005D431D"/>
    <w:rsid w:val="005D441F"/>
    <w:rsid w:val="005D4942"/>
    <w:rsid w:val="005D6363"/>
    <w:rsid w:val="005D6E83"/>
    <w:rsid w:val="005D75ED"/>
    <w:rsid w:val="005E0FF7"/>
    <w:rsid w:val="005E2148"/>
    <w:rsid w:val="005E21B5"/>
    <w:rsid w:val="005E25E2"/>
    <w:rsid w:val="005E2E78"/>
    <w:rsid w:val="005E458E"/>
    <w:rsid w:val="005E473A"/>
    <w:rsid w:val="005E519E"/>
    <w:rsid w:val="005E5331"/>
    <w:rsid w:val="005E6658"/>
    <w:rsid w:val="005E7FAC"/>
    <w:rsid w:val="005F0626"/>
    <w:rsid w:val="005F1196"/>
    <w:rsid w:val="005F17B4"/>
    <w:rsid w:val="005F243A"/>
    <w:rsid w:val="005F2936"/>
    <w:rsid w:val="005F3D6E"/>
    <w:rsid w:val="005F69B8"/>
    <w:rsid w:val="005F6CE5"/>
    <w:rsid w:val="005F77A8"/>
    <w:rsid w:val="005F7EDD"/>
    <w:rsid w:val="006007A9"/>
    <w:rsid w:val="0060090D"/>
    <w:rsid w:val="0060124E"/>
    <w:rsid w:val="006013DE"/>
    <w:rsid w:val="0060173A"/>
    <w:rsid w:val="0060190F"/>
    <w:rsid w:val="00602CD5"/>
    <w:rsid w:val="00602D84"/>
    <w:rsid w:val="00604195"/>
    <w:rsid w:val="00605261"/>
    <w:rsid w:val="0060614E"/>
    <w:rsid w:val="00606986"/>
    <w:rsid w:val="006070C5"/>
    <w:rsid w:val="00607BF6"/>
    <w:rsid w:val="00610DA6"/>
    <w:rsid w:val="00611869"/>
    <w:rsid w:val="006126F5"/>
    <w:rsid w:val="006130E6"/>
    <w:rsid w:val="00615180"/>
    <w:rsid w:val="0061617C"/>
    <w:rsid w:val="00616ABA"/>
    <w:rsid w:val="00617219"/>
    <w:rsid w:val="00620A57"/>
    <w:rsid w:val="00621936"/>
    <w:rsid w:val="006230E3"/>
    <w:rsid w:val="0062343D"/>
    <w:rsid w:val="00624B6D"/>
    <w:rsid w:val="00624D62"/>
    <w:rsid w:val="0062591A"/>
    <w:rsid w:val="0062716F"/>
    <w:rsid w:val="006279D1"/>
    <w:rsid w:val="0063218E"/>
    <w:rsid w:val="00632BB6"/>
    <w:rsid w:val="00633249"/>
    <w:rsid w:val="006335C3"/>
    <w:rsid w:val="006341DA"/>
    <w:rsid w:val="00634AD7"/>
    <w:rsid w:val="00635F7C"/>
    <w:rsid w:val="00636D39"/>
    <w:rsid w:val="00637B54"/>
    <w:rsid w:val="00640F8A"/>
    <w:rsid w:val="00641060"/>
    <w:rsid w:val="0064236A"/>
    <w:rsid w:val="00643A12"/>
    <w:rsid w:val="00646768"/>
    <w:rsid w:val="0064764B"/>
    <w:rsid w:val="00647787"/>
    <w:rsid w:val="00647AB0"/>
    <w:rsid w:val="00650663"/>
    <w:rsid w:val="00653F55"/>
    <w:rsid w:val="00654445"/>
    <w:rsid w:val="00654798"/>
    <w:rsid w:val="00654C9C"/>
    <w:rsid w:val="0065616B"/>
    <w:rsid w:val="006565AD"/>
    <w:rsid w:val="00657584"/>
    <w:rsid w:val="00660889"/>
    <w:rsid w:val="006620D3"/>
    <w:rsid w:val="00662376"/>
    <w:rsid w:val="00662C12"/>
    <w:rsid w:val="00662CE3"/>
    <w:rsid w:val="00663A74"/>
    <w:rsid w:val="00663FC4"/>
    <w:rsid w:val="00664236"/>
    <w:rsid w:val="0066423E"/>
    <w:rsid w:val="00664905"/>
    <w:rsid w:val="00664DBF"/>
    <w:rsid w:val="00664E51"/>
    <w:rsid w:val="00665801"/>
    <w:rsid w:val="00667836"/>
    <w:rsid w:val="00667972"/>
    <w:rsid w:val="00670D41"/>
    <w:rsid w:val="00670D8D"/>
    <w:rsid w:val="006730C5"/>
    <w:rsid w:val="006737F0"/>
    <w:rsid w:val="00675188"/>
    <w:rsid w:val="00676512"/>
    <w:rsid w:val="00680885"/>
    <w:rsid w:val="0068384E"/>
    <w:rsid w:val="00683BB9"/>
    <w:rsid w:val="00684DE2"/>
    <w:rsid w:val="006850C3"/>
    <w:rsid w:val="00685B8C"/>
    <w:rsid w:val="006861F2"/>
    <w:rsid w:val="006875C5"/>
    <w:rsid w:val="00691CEC"/>
    <w:rsid w:val="00691FA0"/>
    <w:rsid w:val="006925AE"/>
    <w:rsid w:val="00692DFF"/>
    <w:rsid w:val="00693D84"/>
    <w:rsid w:val="00694D9F"/>
    <w:rsid w:val="0069556C"/>
    <w:rsid w:val="00695E89"/>
    <w:rsid w:val="006961EA"/>
    <w:rsid w:val="00696698"/>
    <w:rsid w:val="00696ACE"/>
    <w:rsid w:val="00696DA4"/>
    <w:rsid w:val="00697BC9"/>
    <w:rsid w:val="006A110D"/>
    <w:rsid w:val="006A1D5C"/>
    <w:rsid w:val="006A436F"/>
    <w:rsid w:val="006A4F47"/>
    <w:rsid w:val="006A6DE6"/>
    <w:rsid w:val="006B0397"/>
    <w:rsid w:val="006B0F20"/>
    <w:rsid w:val="006B14C0"/>
    <w:rsid w:val="006B255A"/>
    <w:rsid w:val="006B2E89"/>
    <w:rsid w:val="006B31ED"/>
    <w:rsid w:val="006B4BBB"/>
    <w:rsid w:val="006B58A7"/>
    <w:rsid w:val="006B5FBA"/>
    <w:rsid w:val="006B7843"/>
    <w:rsid w:val="006B7B71"/>
    <w:rsid w:val="006C04CF"/>
    <w:rsid w:val="006C1450"/>
    <w:rsid w:val="006C1569"/>
    <w:rsid w:val="006C1811"/>
    <w:rsid w:val="006C1CC6"/>
    <w:rsid w:val="006C2491"/>
    <w:rsid w:val="006C2824"/>
    <w:rsid w:val="006C2AD3"/>
    <w:rsid w:val="006C42BC"/>
    <w:rsid w:val="006C483D"/>
    <w:rsid w:val="006C5930"/>
    <w:rsid w:val="006C5A4B"/>
    <w:rsid w:val="006C6A32"/>
    <w:rsid w:val="006C6D56"/>
    <w:rsid w:val="006C79C2"/>
    <w:rsid w:val="006D0655"/>
    <w:rsid w:val="006D0950"/>
    <w:rsid w:val="006D12F9"/>
    <w:rsid w:val="006D241B"/>
    <w:rsid w:val="006D257D"/>
    <w:rsid w:val="006D2FFE"/>
    <w:rsid w:val="006D5269"/>
    <w:rsid w:val="006D5377"/>
    <w:rsid w:val="006D584D"/>
    <w:rsid w:val="006D6A55"/>
    <w:rsid w:val="006D6B13"/>
    <w:rsid w:val="006D73B3"/>
    <w:rsid w:val="006E1270"/>
    <w:rsid w:val="006E222C"/>
    <w:rsid w:val="006E2487"/>
    <w:rsid w:val="006E4B9D"/>
    <w:rsid w:val="006E5221"/>
    <w:rsid w:val="006E550F"/>
    <w:rsid w:val="006E72EE"/>
    <w:rsid w:val="006E7B8B"/>
    <w:rsid w:val="006F2040"/>
    <w:rsid w:val="006F3129"/>
    <w:rsid w:val="006F318A"/>
    <w:rsid w:val="006F3BF4"/>
    <w:rsid w:val="006F43DB"/>
    <w:rsid w:val="006F5B8F"/>
    <w:rsid w:val="006F68C7"/>
    <w:rsid w:val="00700995"/>
    <w:rsid w:val="00701025"/>
    <w:rsid w:val="007013E6"/>
    <w:rsid w:val="0070174B"/>
    <w:rsid w:val="007022C6"/>
    <w:rsid w:val="0070239B"/>
    <w:rsid w:val="00702A83"/>
    <w:rsid w:val="00704540"/>
    <w:rsid w:val="007061BD"/>
    <w:rsid w:val="00706731"/>
    <w:rsid w:val="00707177"/>
    <w:rsid w:val="00707DDC"/>
    <w:rsid w:val="007104ED"/>
    <w:rsid w:val="00710BD7"/>
    <w:rsid w:val="007132C3"/>
    <w:rsid w:val="00713B39"/>
    <w:rsid w:val="00713C6A"/>
    <w:rsid w:val="00715256"/>
    <w:rsid w:val="00717C38"/>
    <w:rsid w:val="00717DA9"/>
    <w:rsid w:val="00720441"/>
    <w:rsid w:val="00721740"/>
    <w:rsid w:val="00722848"/>
    <w:rsid w:val="00724CD8"/>
    <w:rsid w:val="00727146"/>
    <w:rsid w:val="00727852"/>
    <w:rsid w:val="00727F81"/>
    <w:rsid w:val="007301E6"/>
    <w:rsid w:val="00731FE1"/>
    <w:rsid w:val="007336B7"/>
    <w:rsid w:val="00734D4F"/>
    <w:rsid w:val="007357CE"/>
    <w:rsid w:val="00735955"/>
    <w:rsid w:val="00736991"/>
    <w:rsid w:val="00737902"/>
    <w:rsid w:val="00737A27"/>
    <w:rsid w:val="00737D29"/>
    <w:rsid w:val="007416BC"/>
    <w:rsid w:val="007416C6"/>
    <w:rsid w:val="007421F7"/>
    <w:rsid w:val="007436ED"/>
    <w:rsid w:val="00745B89"/>
    <w:rsid w:val="0074636C"/>
    <w:rsid w:val="007465DC"/>
    <w:rsid w:val="00746615"/>
    <w:rsid w:val="007474C4"/>
    <w:rsid w:val="00747AC4"/>
    <w:rsid w:val="00747BEE"/>
    <w:rsid w:val="00750811"/>
    <w:rsid w:val="00752B8C"/>
    <w:rsid w:val="00753072"/>
    <w:rsid w:val="007560DE"/>
    <w:rsid w:val="007577CD"/>
    <w:rsid w:val="00760F84"/>
    <w:rsid w:val="0076160B"/>
    <w:rsid w:val="007617A0"/>
    <w:rsid w:val="00761CA6"/>
    <w:rsid w:val="0076289A"/>
    <w:rsid w:val="00763290"/>
    <w:rsid w:val="007636A5"/>
    <w:rsid w:val="00763A9F"/>
    <w:rsid w:val="007642FD"/>
    <w:rsid w:val="00764557"/>
    <w:rsid w:val="007650BE"/>
    <w:rsid w:val="00765911"/>
    <w:rsid w:val="00765B6F"/>
    <w:rsid w:val="0076744B"/>
    <w:rsid w:val="00771158"/>
    <w:rsid w:val="007713F4"/>
    <w:rsid w:val="00771925"/>
    <w:rsid w:val="00772078"/>
    <w:rsid w:val="00772F25"/>
    <w:rsid w:val="00773141"/>
    <w:rsid w:val="007743EC"/>
    <w:rsid w:val="00775DFF"/>
    <w:rsid w:val="0077630A"/>
    <w:rsid w:val="0077634D"/>
    <w:rsid w:val="00776992"/>
    <w:rsid w:val="00776AB0"/>
    <w:rsid w:val="00776FFA"/>
    <w:rsid w:val="00780077"/>
    <w:rsid w:val="0078143F"/>
    <w:rsid w:val="007848F4"/>
    <w:rsid w:val="00784D3B"/>
    <w:rsid w:val="00785CAD"/>
    <w:rsid w:val="00785E9A"/>
    <w:rsid w:val="0078768F"/>
    <w:rsid w:val="00790160"/>
    <w:rsid w:val="0079083D"/>
    <w:rsid w:val="00791107"/>
    <w:rsid w:val="0079113F"/>
    <w:rsid w:val="00791323"/>
    <w:rsid w:val="00791790"/>
    <w:rsid w:val="00791D0F"/>
    <w:rsid w:val="00791F8C"/>
    <w:rsid w:val="00792B2F"/>
    <w:rsid w:val="00792F53"/>
    <w:rsid w:val="00793661"/>
    <w:rsid w:val="00794AFF"/>
    <w:rsid w:val="00795431"/>
    <w:rsid w:val="007954E8"/>
    <w:rsid w:val="007962B9"/>
    <w:rsid w:val="00796E7D"/>
    <w:rsid w:val="00797637"/>
    <w:rsid w:val="007A0524"/>
    <w:rsid w:val="007A0B46"/>
    <w:rsid w:val="007A0F2C"/>
    <w:rsid w:val="007A133B"/>
    <w:rsid w:val="007A3465"/>
    <w:rsid w:val="007A5EE1"/>
    <w:rsid w:val="007A6426"/>
    <w:rsid w:val="007A7EFC"/>
    <w:rsid w:val="007A7F19"/>
    <w:rsid w:val="007B0F48"/>
    <w:rsid w:val="007B1176"/>
    <w:rsid w:val="007B1A70"/>
    <w:rsid w:val="007B2329"/>
    <w:rsid w:val="007B25DA"/>
    <w:rsid w:val="007B540E"/>
    <w:rsid w:val="007B5BB0"/>
    <w:rsid w:val="007B66A6"/>
    <w:rsid w:val="007B6C5D"/>
    <w:rsid w:val="007B6C77"/>
    <w:rsid w:val="007B75DC"/>
    <w:rsid w:val="007C08BE"/>
    <w:rsid w:val="007C0DE8"/>
    <w:rsid w:val="007C2252"/>
    <w:rsid w:val="007C34AD"/>
    <w:rsid w:val="007C5199"/>
    <w:rsid w:val="007C690C"/>
    <w:rsid w:val="007C7851"/>
    <w:rsid w:val="007C9D9C"/>
    <w:rsid w:val="007D10D6"/>
    <w:rsid w:val="007D161D"/>
    <w:rsid w:val="007D1F6B"/>
    <w:rsid w:val="007D2BD7"/>
    <w:rsid w:val="007D32B4"/>
    <w:rsid w:val="007D3F40"/>
    <w:rsid w:val="007D42D2"/>
    <w:rsid w:val="007D4C17"/>
    <w:rsid w:val="007D4C5C"/>
    <w:rsid w:val="007D73EC"/>
    <w:rsid w:val="007E4FE0"/>
    <w:rsid w:val="007E5267"/>
    <w:rsid w:val="007E5AAB"/>
    <w:rsid w:val="007E6D62"/>
    <w:rsid w:val="007F018E"/>
    <w:rsid w:val="007F02A1"/>
    <w:rsid w:val="007F1E90"/>
    <w:rsid w:val="007F2ACF"/>
    <w:rsid w:val="007F377F"/>
    <w:rsid w:val="007F3C0B"/>
    <w:rsid w:val="007F450C"/>
    <w:rsid w:val="007F4F21"/>
    <w:rsid w:val="007F6B26"/>
    <w:rsid w:val="007F74DC"/>
    <w:rsid w:val="007F7B5C"/>
    <w:rsid w:val="007F7F07"/>
    <w:rsid w:val="00800C94"/>
    <w:rsid w:val="00801940"/>
    <w:rsid w:val="00803E4D"/>
    <w:rsid w:val="00812054"/>
    <w:rsid w:val="00812724"/>
    <w:rsid w:val="00813153"/>
    <w:rsid w:val="0081326A"/>
    <w:rsid w:val="008135B2"/>
    <w:rsid w:val="00813641"/>
    <w:rsid w:val="00813718"/>
    <w:rsid w:val="00813CED"/>
    <w:rsid w:val="00814451"/>
    <w:rsid w:val="00815739"/>
    <w:rsid w:val="00815D68"/>
    <w:rsid w:val="008178CB"/>
    <w:rsid w:val="008203E0"/>
    <w:rsid w:val="0082051F"/>
    <w:rsid w:val="0082132E"/>
    <w:rsid w:val="00821BA4"/>
    <w:rsid w:val="008225C9"/>
    <w:rsid w:val="008243FE"/>
    <w:rsid w:val="008247DA"/>
    <w:rsid w:val="008248B9"/>
    <w:rsid w:val="008259E6"/>
    <w:rsid w:val="00825E72"/>
    <w:rsid w:val="00826B67"/>
    <w:rsid w:val="00827D80"/>
    <w:rsid w:val="008303C1"/>
    <w:rsid w:val="00830764"/>
    <w:rsid w:val="00830CF7"/>
    <w:rsid w:val="00831539"/>
    <w:rsid w:val="008355B2"/>
    <w:rsid w:val="00835828"/>
    <w:rsid w:val="00836992"/>
    <w:rsid w:val="00836DF0"/>
    <w:rsid w:val="00837B37"/>
    <w:rsid w:val="0084085C"/>
    <w:rsid w:val="008417D4"/>
    <w:rsid w:val="00841A50"/>
    <w:rsid w:val="00842595"/>
    <w:rsid w:val="00843B78"/>
    <w:rsid w:val="00844A44"/>
    <w:rsid w:val="008452BD"/>
    <w:rsid w:val="00845E44"/>
    <w:rsid w:val="00846D6B"/>
    <w:rsid w:val="00850C67"/>
    <w:rsid w:val="0085130A"/>
    <w:rsid w:val="0085226A"/>
    <w:rsid w:val="008539F2"/>
    <w:rsid w:val="00853B96"/>
    <w:rsid w:val="00853C78"/>
    <w:rsid w:val="00854A88"/>
    <w:rsid w:val="00855523"/>
    <w:rsid w:val="0085552E"/>
    <w:rsid w:val="00857147"/>
    <w:rsid w:val="00862363"/>
    <w:rsid w:val="00863270"/>
    <w:rsid w:val="008641B5"/>
    <w:rsid w:val="00865095"/>
    <w:rsid w:val="00865B77"/>
    <w:rsid w:val="008663FE"/>
    <w:rsid w:val="00867FDD"/>
    <w:rsid w:val="008716C7"/>
    <w:rsid w:val="00872945"/>
    <w:rsid w:val="0087368A"/>
    <w:rsid w:val="008744F6"/>
    <w:rsid w:val="00875A09"/>
    <w:rsid w:val="00875CF3"/>
    <w:rsid w:val="008767D5"/>
    <w:rsid w:val="00876A30"/>
    <w:rsid w:val="008806C3"/>
    <w:rsid w:val="00881F36"/>
    <w:rsid w:val="0088290B"/>
    <w:rsid w:val="00884E44"/>
    <w:rsid w:val="008867D9"/>
    <w:rsid w:val="008878EF"/>
    <w:rsid w:val="00890BEC"/>
    <w:rsid w:val="00891C89"/>
    <w:rsid w:val="00892EB9"/>
    <w:rsid w:val="00892FF0"/>
    <w:rsid w:val="00893F75"/>
    <w:rsid w:val="008979F7"/>
    <w:rsid w:val="00897D52"/>
    <w:rsid w:val="008A01F3"/>
    <w:rsid w:val="008A0774"/>
    <w:rsid w:val="008A0AB2"/>
    <w:rsid w:val="008A0E24"/>
    <w:rsid w:val="008A1E02"/>
    <w:rsid w:val="008A26D6"/>
    <w:rsid w:val="008A5DF2"/>
    <w:rsid w:val="008A6C18"/>
    <w:rsid w:val="008A6C90"/>
    <w:rsid w:val="008A71C1"/>
    <w:rsid w:val="008A78AB"/>
    <w:rsid w:val="008A7B1D"/>
    <w:rsid w:val="008B02A0"/>
    <w:rsid w:val="008B1AF8"/>
    <w:rsid w:val="008B30A1"/>
    <w:rsid w:val="008B31F7"/>
    <w:rsid w:val="008B3426"/>
    <w:rsid w:val="008B3AEF"/>
    <w:rsid w:val="008B4AAF"/>
    <w:rsid w:val="008B4E71"/>
    <w:rsid w:val="008B62F0"/>
    <w:rsid w:val="008B6B0C"/>
    <w:rsid w:val="008B718F"/>
    <w:rsid w:val="008C2D47"/>
    <w:rsid w:val="008C4304"/>
    <w:rsid w:val="008C4499"/>
    <w:rsid w:val="008C65E5"/>
    <w:rsid w:val="008C6729"/>
    <w:rsid w:val="008C6C9F"/>
    <w:rsid w:val="008C6F70"/>
    <w:rsid w:val="008D0217"/>
    <w:rsid w:val="008D29D7"/>
    <w:rsid w:val="008D3E8E"/>
    <w:rsid w:val="008D3E90"/>
    <w:rsid w:val="008D4F2D"/>
    <w:rsid w:val="008D54F5"/>
    <w:rsid w:val="008D5B71"/>
    <w:rsid w:val="008E01F1"/>
    <w:rsid w:val="008E2C09"/>
    <w:rsid w:val="008E33B0"/>
    <w:rsid w:val="008E4087"/>
    <w:rsid w:val="008E469D"/>
    <w:rsid w:val="008E6147"/>
    <w:rsid w:val="008E73F6"/>
    <w:rsid w:val="008E7946"/>
    <w:rsid w:val="008F14F8"/>
    <w:rsid w:val="008F1FA6"/>
    <w:rsid w:val="008F2046"/>
    <w:rsid w:val="008F2E41"/>
    <w:rsid w:val="008F3740"/>
    <w:rsid w:val="008F434A"/>
    <w:rsid w:val="008F4DAC"/>
    <w:rsid w:val="008F604B"/>
    <w:rsid w:val="008F69D8"/>
    <w:rsid w:val="00900AF4"/>
    <w:rsid w:val="00901488"/>
    <w:rsid w:val="009019C3"/>
    <w:rsid w:val="00901A68"/>
    <w:rsid w:val="009020F5"/>
    <w:rsid w:val="00902487"/>
    <w:rsid w:val="00903877"/>
    <w:rsid w:val="00903E9C"/>
    <w:rsid w:val="009042AF"/>
    <w:rsid w:val="00905C4A"/>
    <w:rsid w:val="009060D9"/>
    <w:rsid w:val="0090624E"/>
    <w:rsid w:val="0090700D"/>
    <w:rsid w:val="00907F57"/>
    <w:rsid w:val="009102F0"/>
    <w:rsid w:val="0091107B"/>
    <w:rsid w:val="0091266A"/>
    <w:rsid w:val="00912D1E"/>
    <w:rsid w:val="00914F81"/>
    <w:rsid w:val="009151A3"/>
    <w:rsid w:val="00915716"/>
    <w:rsid w:val="00917352"/>
    <w:rsid w:val="00920D17"/>
    <w:rsid w:val="00920D88"/>
    <w:rsid w:val="0092154E"/>
    <w:rsid w:val="0092166A"/>
    <w:rsid w:val="00921774"/>
    <w:rsid w:val="00921944"/>
    <w:rsid w:val="00921D50"/>
    <w:rsid w:val="00922571"/>
    <w:rsid w:val="009234C4"/>
    <w:rsid w:val="009236AF"/>
    <w:rsid w:val="0092531F"/>
    <w:rsid w:val="00925521"/>
    <w:rsid w:val="00927137"/>
    <w:rsid w:val="00927280"/>
    <w:rsid w:val="00927398"/>
    <w:rsid w:val="00927FC2"/>
    <w:rsid w:val="00930894"/>
    <w:rsid w:val="009313DF"/>
    <w:rsid w:val="00931848"/>
    <w:rsid w:val="00931A49"/>
    <w:rsid w:val="00932FF8"/>
    <w:rsid w:val="009337A0"/>
    <w:rsid w:val="00933EF2"/>
    <w:rsid w:val="009348A3"/>
    <w:rsid w:val="0093655A"/>
    <w:rsid w:val="00936B94"/>
    <w:rsid w:val="00940517"/>
    <w:rsid w:val="00941B77"/>
    <w:rsid w:val="00942204"/>
    <w:rsid w:val="00942F40"/>
    <w:rsid w:val="00943092"/>
    <w:rsid w:val="00951A53"/>
    <w:rsid w:val="00951D6D"/>
    <w:rsid w:val="00952178"/>
    <w:rsid w:val="009531AD"/>
    <w:rsid w:val="009531DF"/>
    <w:rsid w:val="00954C2B"/>
    <w:rsid w:val="009554F0"/>
    <w:rsid w:val="00957B95"/>
    <w:rsid w:val="00960503"/>
    <w:rsid w:val="00962035"/>
    <w:rsid w:val="00962507"/>
    <w:rsid w:val="00963D10"/>
    <w:rsid w:val="009643B8"/>
    <w:rsid w:val="009643BF"/>
    <w:rsid w:val="00965FD5"/>
    <w:rsid w:val="00966E51"/>
    <w:rsid w:val="00967193"/>
    <w:rsid w:val="00967CCC"/>
    <w:rsid w:val="009702A7"/>
    <w:rsid w:val="00970F78"/>
    <w:rsid w:val="009719D7"/>
    <w:rsid w:val="00976237"/>
    <w:rsid w:val="00976E7B"/>
    <w:rsid w:val="0097799D"/>
    <w:rsid w:val="00977EBB"/>
    <w:rsid w:val="00980B37"/>
    <w:rsid w:val="00981104"/>
    <w:rsid w:val="00981CD5"/>
    <w:rsid w:val="0098225E"/>
    <w:rsid w:val="009829AF"/>
    <w:rsid w:val="00983842"/>
    <w:rsid w:val="009848FA"/>
    <w:rsid w:val="00985D56"/>
    <w:rsid w:val="00987761"/>
    <w:rsid w:val="00991025"/>
    <w:rsid w:val="00992FAB"/>
    <w:rsid w:val="009947F5"/>
    <w:rsid w:val="0099566C"/>
    <w:rsid w:val="00995CB2"/>
    <w:rsid w:val="00996486"/>
    <w:rsid w:val="00996CF5"/>
    <w:rsid w:val="009A17E8"/>
    <w:rsid w:val="009A23AB"/>
    <w:rsid w:val="009A2B74"/>
    <w:rsid w:val="009A30BE"/>
    <w:rsid w:val="009B0237"/>
    <w:rsid w:val="009B1A92"/>
    <w:rsid w:val="009B2424"/>
    <w:rsid w:val="009B3008"/>
    <w:rsid w:val="009B3065"/>
    <w:rsid w:val="009B355F"/>
    <w:rsid w:val="009B4417"/>
    <w:rsid w:val="009B54AE"/>
    <w:rsid w:val="009C0C53"/>
    <w:rsid w:val="009C0EB6"/>
    <w:rsid w:val="009C103E"/>
    <w:rsid w:val="009C1226"/>
    <w:rsid w:val="009C1EF7"/>
    <w:rsid w:val="009C511E"/>
    <w:rsid w:val="009C52CF"/>
    <w:rsid w:val="009C5308"/>
    <w:rsid w:val="009C5672"/>
    <w:rsid w:val="009C6025"/>
    <w:rsid w:val="009C6A32"/>
    <w:rsid w:val="009C6BBB"/>
    <w:rsid w:val="009C6E20"/>
    <w:rsid w:val="009C728E"/>
    <w:rsid w:val="009D0FCC"/>
    <w:rsid w:val="009D15D0"/>
    <w:rsid w:val="009D18F4"/>
    <w:rsid w:val="009D2AE9"/>
    <w:rsid w:val="009D3D1B"/>
    <w:rsid w:val="009D49CE"/>
    <w:rsid w:val="009D49E6"/>
    <w:rsid w:val="009D737F"/>
    <w:rsid w:val="009D7621"/>
    <w:rsid w:val="009D7725"/>
    <w:rsid w:val="009D79F9"/>
    <w:rsid w:val="009E1C2D"/>
    <w:rsid w:val="009E306E"/>
    <w:rsid w:val="009E37EB"/>
    <w:rsid w:val="009E4D61"/>
    <w:rsid w:val="009E503A"/>
    <w:rsid w:val="009E5929"/>
    <w:rsid w:val="009E5B64"/>
    <w:rsid w:val="009E722A"/>
    <w:rsid w:val="009F06D7"/>
    <w:rsid w:val="009F082B"/>
    <w:rsid w:val="009F0D3F"/>
    <w:rsid w:val="009F25DE"/>
    <w:rsid w:val="009F2F42"/>
    <w:rsid w:val="009F345B"/>
    <w:rsid w:val="009F34B2"/>
    <w:rsid w:val="009F37A5"/>
    <w:rsid w:val="009F5C31"/>
    <w:rsid w:val="009F70F6"/>
    <w:rsid w:val="00A00331"/>
    <w:rsid w:val="00A02413"/>
    <w:rsid w:val="00A02481"/>
    <w:rsid w:val="00A025FF"/>
    <w:rsid w:val="00A031A3"/>
    <w:rsid w:val="00A03C1C"/>
    <w:rsid w:val="00A067A0"/>
    <w:rsid w:val="00A06F21"/>
    <w:rsid w:val="00A10769"/>
    <w:rsid w:val="00A119BC"/>
    <w:rsid w:val="00A12E5E"/>
    <w:rsid w:val="00A14180"/>
    <w:rsid w:val="00A141D7"/>
    <w:rsid w:val="00A14AC9"/>
    <w:rsid w:val="00A165C3"/>
    <w:rsid w:val="00A173FD"/>
    <w:rsid w:val="00A17729"/>
    <w:rsid w:val="00A17740"/>
    <w:rsid w:val="00A17903"/>
    <w:rsid w:val="00A20B9F"/>
    <w:rsid w:val="00A222FD"/>
    <w:rsid w:val="00A2243F"/>
    <w:rsid w:val="00A22AF9"/>
    <w:rsid w:val="00A23E39"/>
    <w:rsid w:val="00A24562"/>
    <w:rsid w:val="00A24D09"/>
    <w:rsid w:val="00A25C1D"/>
    <w:rsid w:val="00A306D2"/>
    <w:rsid w:val="00A32331"/>
    <w:rsid w:val="00A33260"/>
    <w:rsid w:val="00A334DD"/>
    <w:rsid w:val="00A359E4"/>
    <w:rsid w:val="00A36332"/>
    <w:rsid w:val="00A36B9F"/>
    <w:rsid w:val="00A36ED3"/>
    <w:rsid w:val="00A376CF"/>
    <w:rsid w:val="00A37828"/>
    <w:rsid w:val="00A37BBF"/>
    <w:rsid w:val="00A40EDC"/>
    <w:rsid w:val="00A4256E"/>
    <w:rsid w:val="00A42998"/>
    <w:rsid w:val="00A44869"/>
    <w:rsid w:val="00A448DF"/>
    <w:rsid w:val="00A44CAA"/>
    <w:rsid w:val="00A4612D"/>
    <w:rsid w:val="00A47271"/>
    <w:rsid w:val="00A4734C"/>
    <w:rsid w:val="00A5384B"/>
    <w:rsid w:val="00A55038"/>
    <w:rsid w:val="00A55415"/>
    <w:rsid w:val="00A557B5"/>
    <w:rsid w:val="00A56361"/>
    <w:rsid w:val="00A5673A"/>
    <w:rsid w:val="00A6028F"/>
    <w:rsid w:val="00A6196C"/>
    <w:rsid w:val="00A64CE9"/>
    <w:rsid w:val="00A665EF"/>
    <w:rsid w:val="00A6745B"/>
    <w:rsid w:val="00A714BA"/>
    <w:rsid w:val="00A714DF"/>
    <w:rsid w:val="00A718BE"/>
    <w:rsid w:val="00A74618"/>
    <w:rsid w:val="00A75BD7"/>
    <w:rsid w:val="00A7616A"/>
    <w:rsid w:val="00A8014B"/>
    <w:rsid w:val="00A804D9"/>
    <w:rsid w:val="00A81B72"/>
    <w:rsid w:val="00A82583"/>
    <w:rsid w:val="00A83023"/>
    <w:rsid w:val="00A839BD"/>
    <w:rsid w:val="00A84830"/>
    <w:rsid w:val="00A85CFA"/>
    <w:rsid w:val="00A90020"/>
    <w:rsid w:val="00A907E2"/>
    <w:rsid w:val="00A9103B"/>
    <w:rsid w:val="00A921B9"/>
    <w:rsid w:val="00A9238D"/>
    <w:rsid w:val="00A95274"/>
    <w:rsid w:val="00A96127"/>
    <w:rsid w:val="00A9648C"/>
    <w:rsid w:val="00A96C60"/>
    <w:rsid w:val="00A970F5"/>
    <w:rsid w:val="00AA027F"/>
    <w:rsid w:val="00AA1899"/>
    <w:rsid w:val="00AA4EFE"/>
    <w:rsid w:val="00AA608C"/>
    <w:rsid w:val="00AA62AD"/>
    <w:rsid w:val="00AA76B4"/>
    <w:rsid w:val="00AA7816"/>
    <w:rsid w:val="00AA7817"/>
    <w:rsid w:val="00AA7B47"/>
    <w:rsid w:val="00AB0B5B"/>
    <w:rsid w:val="00AB19A6"/>
    <w:rsid w:val="00AB32E6"/>
    <w:rsid w:val="00AB3659"/>
    <w:rsid w:val="00AB40CA"/>
    <w:rsid w:val="00AB4C2F"/>
    <w:rsid w:val="00AB536B"/>
    <w:rsid w:val="00AB5B56"/>
    <w:rsid w:val="00AB615D"/>
    <w:rsid w:val="00AB695A"/>
    <w:rsid w:val="00AB7599"/>
    <w:rsid w:val="00AC03F3"/>
    <w:rsid w:val="00AC1C74"/>
    <w:rsid w:val="00AC27DD"/>
    <w:rsid w:val="00AC2809"/>
    <w:rsid w:val="00AC327E"/>
    <w:rsid w:val="00AC40A4"/>
    <w:rsid w:val="00AC433C"/>
    <w:rsid w:val="00AC5176"/>
    <w:rsid w:val="00AC5E1E"/>
    <w:rsid w:val="00AC704A"/>
    <w:rsid w:val="00AC786F"/>
    <w:rsid w:val="00AD1B2C"/>
    <w:rsid w:val="00AD221D"/>
    <w:rsid w:val="00AD334E"/>
    <w:rsid w:val="00AD36F0"/>
    <w:rsid w:val="00AD3D33"/>
    <w:rsid w:val="00AD46E6"/>
    <w:rsid w:val="00AD48BD"/>
    <w:rsid w:val="00AD6324"/>
    <w:rsid w:val="00AD6EF2"/>
    <w:rsid w:val="00AD7427"/>
    <w:rsid w:val="00AE0D5C"/>
    <w:rsid w:val="00AE18AF"/>
    <w:rsid w:val="00AE197D"/>
    <w:rsid w:val="00AE21C5"/>
    <w:rsid w:val="00AE2431"/>
    <w:rsid w:val="00AE2762"/>
    <w:rsid w:val="00AE2F39"/>
    <w:rsid w:val="00AE3062"/>
    <w:rsid w:val="00AE36E7"/>
    <w:rsid w:val="00AE3AF6"/>
    <w:rsid w:val="00AE474B"/>
    <w:rsid w:val="00AE4E35"/>
    <w:rsid w:val="00AE4F91"/>
    <w:rsid w:val="00AE4FB7"/>
    <w:rsid w:val="00AE6365"/>
    <w:rsid w:val="00AE652C"/>
    <w:rsid w:val="00AE74D8"/>
    <w:rsid w:val="00AF0588"/>
    <w:rsid w:val="00AF07D0"/>
    <w:rsid w:val="00AF0F33"/>
    <w:rsid w:val="00AF14EE"/>
    <w:rsid w:val="00AF4274"/>
    <w:rsid w:val="00AF4889"/>
    <w:rsid w:val="00AF58A8"/>
    <w:rsid w:val="00AF5C36"/>
    <w:rsid w:val="00AF7809"/>
    <w:rsid w:val="00AF78A9"/>
    <w:rsid w:val="00B0109D"/>
    <w:rsid w:val="00B043DF"/>
    <w:rsid w:val="00B04BFD"/>
    <w:rsid w:val="00B0542E"/>
    <w:rsid w:val="00B05AD9"/>
    <w:rsid w:val="00B07FB7"/>
    <w:rsid w:val="00B100FF"/>
    <w:rsid w:val="00B115DE"/>
    <w:rsid w:val="00B11B91"/>
    <w:rsid w:val="00B11DC3"/>
    <w:rsid w:val="00B12EBB"/>
    <w:rsid w:val="00B13F65"/>
    <w:rsid w:val="00B142CB"/>
    <w:rsid w:val="00B14693"/>
    <w:rsid w:val="00B1480B"/>
    <w:rsid w:val="00B14E51"/>
    <w:rsid w:val="00B16548"/>
    <w:rsid w:val="00B22BF3"/>
    <w:rsid w:val="00B22C28"/>
    <w:rsid w:val="00B23131"/>
    <w:rsid w:val="00B23706"/>
    <w:rsid w:val="00B23FD3"/>
    <w:rsid w:val="00B24569"/>
    <w:rsid w:val="00B25C19"/>
    <w:rsid w:val="00B26603"/>
    <w:rsid w:val="00B26E87"/>
    <w:rsid w:val="00B308F1"/>
    <w:rsid w:val="00B3168A"/>
    <w:rsid w:val="00B33292"/>
    <w:rsid w:val="00B363CC"/>
    <w:rsid w:val="00B377E7"/>
    <w:rsid w:val="00B4028F"/>
    <w:rsid w:val="00B404F0"/>
    <w:rsid w:val="00B410A7"/>
    <w:rsid w:val="00B41816"/>
    <w:rsid w:val="00B41987"/>
    <w:rsid w:val="00B422E7"/>
    <w:rsid w:val="00B43D23"/>
    <w:rsid w:val="00B440C3"/>
    <w:rsid w:val="00B442C1"/>
    <w:rsid w:val="00B4480E"/>
    <w:rsid w:val="00B461CB"/>
    <w:rsid w:val="00B46FBB"/>
    <w:rsid w:val="00B47772"/>
    <w:rsid w:val="00B47884"/>
    <w:rsid w:val="00B51CA3"/>
    <w:rsid w:val="00B52669"/>
    <w:rsid w:val="00B52B54"/>
    <w:rsid w:val="00B55CF6"/>
    <w:rsid w:val="00B5645D"/>
    <w:rsid w:val="00B571B2"/>
    <w:rsid w:val="00B57A19"/>
    <w:rsid w:val="00B606BB"/>
    <w:rsid w:val="00B617F3"/>
    <w:rsid w:val="00B63E8C"/>
    <w:rsid w:val="00B67AAD"/>
    <w:rsid w:val="00B67AFB"/>
    <w:rsid w:val="00B67F6D"/>
    <w:rsid w:val="00B7082E"/>
    <w:rsid w:val="00B71BFE"/>
    <w:rsid w:val="00B72BB2"/>
    <w:rsid w:val="00B73AA3"/>
    <w:rsid w:val="00B7504B"/>
    <w:rsid w:val="00B765C3"/>
    <w:rsid w:val="00B77667"/>
    <w:rsid w:val="00B777F1"/>
    <w:rsid w:val="00B8111B"/>
    <w:rsid w:val="00B82001"/>
    <w:rsid w:val="00B82C3F"/>
    <w:rsid w:val="00B82CE8"/>
    <w:rsid w:val="00B84300"/>
    <w:rsid w:val="00B847C9"/>
    <w:rsid w:val="00B84E43"/>
    <w:rsid w:val="00B856D1"/>
    <w:rsid w:val="00B85F74"/>
    <w:rsid w:val="00B86C2B"/>
    <w:rsid w:val="00B910D1"/>
    <w:rsid w:val="00B91C73"/>
    <w:rsid w:val="00B91E32"/>
    <w:rsid w:val="00B91E35"/>
    <w:rsid w:val="00B92177"/>
    <w:rsid w:val="00B929E9"/>
    <w:rsid w:val="00B93342"/>
    <w:rsid w:val="00B933F5"/>
    <w:rsid w:val="00B95421"/>
    <w:rsid w:val="00B95E40"/>
    <w:rsid w:val="00B96797"/>
    <w:rsid w:val="00B97999"/>
    <w:rsid w:val="00BA000C"/>
    <w:rsid w:val="00BA0BAC"/>
    <w:rsid w:val="00BA0C04"/>
    <w:rsid w:val="00BA1311"/>
    <w:rsid w:val="00BA3175"/>
    <w:rsid w:val="00BA4069"/>
    <w:rsid w:val="00BA48F0"/>
    <w:rsid w:val="00BA5A7C"/>
    <w:rsid w:val="00BA5B3B"/>
    <w:rsid w:val="00BA6030"/>
    <w:rsid w:val="00BA60CD"/>
    <w:rsid w:val="00BA66A9"/>
    <w:rsid w:val="00BA7E1D"/>
    <w:rsid w:val="00BA7ED4"/>
    <w:rsid w:val="00BB1C27"/>
    <w:rsid w:val="00BB2366"/>
    <w:rsid w:val="00BB2D0D"/>
    <w:rsid w:val="00BB48F2"/>
    <w:rsid w:val="00BC3F09"/>
    <w:rsid w:val="00BC4ED2"/>
    <w:rsid w:val="00BC56EE"/>
    <w:rsid w:val="00BC5A93"/>
    <w:rsid w:val="00BC5AD0"/>
    <w:rsid w:val="00BC5BD5"/>
    <w:rsid w:val="00BC5C05"/>
    <w:rsid w:val="00BC7223"/>
    <w:rsid w:val="00BD0298"/>
    <w:rsid w:val="00BD0D23"/>
    <w:rsid w:val="00BD10C5"/>
    <w:rsid w:val="00BD1699"/>
    <w:rsid w:val="00BD2359"/>
    <w:rsid w:val="00BD2B97"/>
    <w:rsid w:val="00BD43EF"/>
    <w:rsid w:val="00BD4FFA"/>
    <w:rsid w:val="00BD5E09"/>
    <w:rsid w:val="00BD774F"/>
    <w:rsid w:val="00BE0A5A"/>
    <w:rsid w:val="00BE0CC7"/>
    <w:rsid w:val="00BE0EC0"/>
    <w:rsid w:val="00BE146F"/>
    <w:rsid w:val="00BE21A2"/>
    <w:rsid w:val="00BE2AB2"/>
    <w:rsid w:val="00BE4791"/>
    <w:rsid w:val="00BE5CD6"/>
    <w:rsid w:val="00BE62E5"/>
    <w:rsid w:val="00BE6F68"/>
    <w:rsid w:val="00BE7A3B"/>
    <w:rsid w:val="00BF0ADD"/>
    <w:rsid w:val="00BF0AEA"/>
    <w:rsid w:val="00BF475B"/>
    <w:rsid w:val="00BF5170"/>
    <w:rsid w:val="00BF612D"/>
    <w:rsid w:val="00BF7765"/>
    <w:rsid w:val="00BF7941"/>
    <w:rsid w:val="00C00282"/>
    <w:rsid w:val="00C009B5"/>
    <w:rsid w:val="00C00A9C"/>
    <w:rsid w:val="00C01A2B"/>
    <w:rsid w:val="00C01BF3"/>
    <w:rsid w:val="00C024E9"/>
    <w:rsid w:val="00C03439"/>
    <w:rsid w:val="00C04B3F"/>
    <w:rsid w:val="00C06006"/>
    <w:rsid w:val="00C065CA"/>
    <w:rsid w:val="00C0796C"/>
    <w:rsid w:val="00C10A98"/>
    <w:rsid w:val="00C11115"/>
    <w:rsid w:val="00C116A9"/>
    <w:rsid w:val="00C12248"/>
    <w:rsid w:val="00C12318"/>
    <w:rsid w:val="00C140BF"/>
    <w:rsid w:val="00C14294"/>
    <w:rsid w:val="00C146FF"/>
    <w:rsid w:val="00C151EB"/>
    <w:rsid w:val="00C1538C"/>
    <w:rsid w:val="00C158DD"/>
    <w:rsid w:val="00C15B0D"/>
    <w:rsid w:val="00C15C40"/>
    <w:rsid w:val="00C16A7D"/>
    <w:rsid w:val="00C17980"/>
    <w:rsid w:val="00C17F95"/>
    <w:rsid w:val="00C22279"/>
    <w:rsid w:val="00C224DD"/>
    <w:rsid w:val="00C233B9"/>
    <w:rsid w:val="00C238F2"/>
    <w:rsid w:val="00C25D83"/>
    <w:rsid w:val="00C25DE5"/>
    <w:rsid w:val="00C26BB9"/>
    <w:rsid w:val="00C30D45"/>
    <w:rsid w:val="00C32A4A"/>
    <w:rsid w:val="00C33494"/>
    <w:rsid w:val="00C3358B"/>
    <w:rsid w:val="00C3439F"/>
    <w:rsid w:val="00C3522A"/>
    <w:rsid w:val="00C36701"/>
    <w:rsid w:val="00C411A2"/>
    <w:rsid w:val="00C43F62"/>
    <w:rsid w:val="00C442E8"/>
    <w:rsid w:val="00C44A7D"/>
    <w:rsid w:val="00C470C1"/>
    <w:rsid w:val="00C50CFA"/>
    <w:rsid w:val="00C50DB2"/>
    <w:rsid w:val="00C5119D"/>
    <w:rsid w:val="00C5205E"/>
    <w:rsid w:val="00C5220F"/>
    <w:rsid w:val="00C52AAE"/>
    <w:rsid w:val="00C56004"/>
    <w:rsid w:val="00C565B2"/>
    <w:rsid w:val="00C60DD9"/>
    <w:rsid w:val="00C62C68"/>
    <w:rsid w:val="00C6344A"/>
    <w:rsid w:val="00C658E6"/>
    <w:rsid w:val="00C66135"/>
    <w:rsid w:val="00C66EA0"/>
    <w:rsid w:val="00C67282"/>
    <w:rsid w:val="00C67A60"/>
    <w:rsid w:val="00C709F3"/>
    <w:rsid w:val="00C723B1"/>
    <w:rsid w:val="00C7261B"/>
    <w:rsid w:val="00C75B09"/>
    <w:rsid w:val="00C80004"/>
    <w:rsid w:val="00C800DA"/>
    <w:rsid w:val="00C814B8"/>
    <w:rsid w:val="00C818BB"/>
    <w:rsid w:val="00C819B1"/>
    <w:rsid w:val="00C82A59"/>
    <w:rsid w:val="00C83404"/>
    <w:rsid w:val="00C839BE"/>
    <w:rsid w:val="00C84923"/>
    <w:rsid w:val="00C8499E"/>
    <w:rsid w:val="00C849C8"/>
    <w:rsid w:val="00C84CDC"/>
    <w:rsid w:val="00C852DA"/>
    <w:rsid w:val="00C860E7"/>
    <w:rsid w:val="00C86767"/>
    <w:rsid w:val="00C9025F"/>
    <w:rsid w:val="00C90C56"/>
    <w:rsid w:val="00C91603"/>
    <w:rsid w:val="00C94D48"/>
    <w:rsid w:val="00C9509B"/>
    <w:rsid w:val="00C952D6"/>
    <w:rsid w:val="00C9543F"/>
    <w:rsid w:val="00C967AC"/>
    <w:rsid w:val="00CA00B7"/>
    <w:rsid w:val="00CA0A3C"/>
    <w:rsid w:val="00CA1610"/>
    <w:rsid w:val="00CA18C2"/>
    <w:rsid w:val="00CA1F13"/>
    <w:rsid w:val="00CA2663"/>
    <w:rsid w:val="00CA3666"/>
    <w:rsid w:val="00CA3CA4"/>
    <w:rsid w:val="00CA3D79"/>
    <w:rsid w:val="00CA4B24"/>
    <w:rsid w:val="00CA6692"/>
    <w:rsid w:val="00CA73E0"/>
    <w:rsid w:val="00CA79BB"/>
    <w:rsid w:val="00CA7AB4"/>
    <w:rsid w:val="00CB0244"/>
    <w:rsid w:val="00CB03A2"/>
    <w:rsid w:val="00CB0E11"/>
    <w:rsid w:val="00CB0FBF"/>
    <w:rsid w:val="00CB13B8"/>
    <w:rsid w:val="00CB1895"/>
    <w:rsid w:val="00CB2B49"/>
    <w:rsid w:val="00CB2F86"/>
    <w:rsid w:val="00CB52D5"/>
    <w:rsid w:val="00CB722E"/>
    <w:rsid w:val="00CB795D"/>
    <w:rsid w:val="00CC004D"/>
    <w:rsid w:val="00CC1782"/>
    <w:rsid w:val="00CC2251"/>
    <w:rsid w:val="00CC3249"/>
    <w:rsid w:val="00CC3568"/>
    <w:rsid w:val="00CC3CE1"/>
    <w:rsid w:val="00CC4CA2"/>
    <w:rsid w:val="00CC4F51"/>
    <w:rsid w:val="00CC566E"/>
    <w:rsid w:val="00CC577E"/>
    <w:rsid w:val="00CC5CA8"/>
    <w:rsid w:val="00CC6248"/>
    <w:rsid w:val="00CC6569"/>
    <w:rsid w:val="00CC6642"/>
    <w:rsid w:val="00CD080F"/>
    <w:rsid w:val="00CD103B"/>
    <w:rsid w:val="00CD1F10"/>
    <w:rsid w:val="00CD2623"/>
    <w:rsid w:val="00CD2B77"/>
    <w:rsid w:val="00CD2C7A"/>
    <w:rsid w:val="00CD391F"/>
    <w:rsid w:val="00CD4316"/>
    <w:rsid w:val="00CD456F"/>
    <w:rsid w:val="00CD5755"/>
    <w:rsid w:val="00CD763C"/>
    <w:rsid w:val="00CD7AD3"/>
    <w:rsid w:val="00CD7FA1"/>
    <w:rsid w:val="00CE08D1"/>
    <w:rsid w:val="00CE1916"/>
    <w:rsid w:val="00CE1B1A"/>
    <w:rsid w:val="00CE2EB5"/>
    <w:rsid w:val="00CE3C18"/>
    <w:rsid w:val="00CE4162"/>
    <w:rsid w:val="00CE4B71"/>
    <w:rsid w:val="00CE5866"/>
    <w:rsid w:val="00CE7B9D"/>
    <w:rsid w:val="00CE7EC9"/>
    <w:rsid w:val="00CF03C5"/>
    <w:rsid w:val="00CF18A0"/>
    <w:rsid w:val="00CF238C"/>
    <w:rsid w:val="00CF23C7"/>
    <w:rsid w:val="00CF3A0A"/>
    <w:rsid w:val="00CF3FF1"/>
    <w:rsid w:val="00CF42A7"/>
    <w:rsid w:val="00CF4953"/>
    <w:rsid w:val="00CF49FA"/>
    <w:rsid w:val="00CF62D3"/>
    <w:rsid w:val="00CF7F91"/>
    <w:rsid w:val="00D012C6"/>
    <w:rsid w:val="00D01561"/>
    <w:rsid w:val="00D02A0E"/>
    <w:rsid w:val="00D03BB0"/>
    <w:rsid w:val="00D04867"/>
    <w:rsid w:val="00D05B48"/>
    <w:rsid w:val="00D064A6"/>
    <w:rsid w:val="00D07D9E"/>
    <w:rsid w:val="00D10E4E"/>
    <w:rsid w:val="00D117A9"/>
    <w:rsid w:val="00D134B4"/>
    <w:rsid w:val="00D13DC4"/>
    <w:rsid w:val="00D14B36"/>
    <w:rsid w:val="00D14EDB"/>
    <w:rsid w:val="00D16C3C"/>
    <w:rsid w:val="00D1774E"/>
    <w:rsid w:val="00D202DD"/>
    <w:rsid w:val="00D2054C"/>
    <w:rsid w:val="00D212D3"/>
    <w:rsid w:val="00D24B03"/>
    <w:rsid w:val="00D2568B"/>
    <w:rsid w:val="00D257CB"/>
    <w:rsid w:val="00D25E77"/>
    <w:rsid w:val="00D2613C"/>
    <w:rsid w:val="00D26BD8"/>
    <w:rsid w:val="00D27937"/>
    <w:rsid w:val="00D27B8F"/>
    <w:rsid w:val="00D27ECD"/>
    <w:rsid w:val="00D30140"/>
    <w:rsid w:val="00D3015F"/>
    <w:rsid w:val="00D32A26"/>
    <w:rsid w:val="00D34207"/>
    <w:rsid w:val="00D352D0"/>
    <w:rsid w:val="00D3643C"/>
    <w:rsid w:val="00D3655C"/>
    <w:rsid w:val="00D368C0"/>
    <w:rsid w:val="00D371DB"/>
    <w:rsid w:val="00D37D1B"/>
    <w:rsid w:val="00D40CBE"/>
    <w:rsid w:val="00D421AC"/>
    <w:rsid w:val="00D424E6"/>
    <w:rsid w:val="00D434F8"/>
    <w:rsid w:val="00D45B2B"/>
    <w:rsid w:val="00D46955"/>
    <w:rsid w:val="00D46FEC"/>
    <w:rsid w:val="00D50324"/>
    <w:rsid w:val="00D50553"/>
    <w:rsid w:val="00D51012"/>
    <w:rsid w:val="00D513D9"/>
    <w:rsid w:val="00D5154B"/>
    <w:rsid w:val="00D52B8C"/>
    <w:rsid w:val="00D5306F"/>
    <w:rsid w:val="00D53A7D"/>
    <w:rsid w:val="00D53E99"/>
    <w:rsid w:val="00D5481E"/>
    <w:rsid w:val="00D54963"/>
    <w:rsid w:val="00D560AA"/>
    <w:rsid w:val="00D56131"/>
    <w:rsid w:val="00D568B8"/>
    <w:rsid w:val="00D56FDE"/>
    <w:rsid w:val="00D57274"/>
    <w:rsid w:val="00D57562"/>
    <w:rsid w:val="00D578C7"/>
    <w:rsid w:val="00D57EC1"/>
    <w:rsid w:val="00D5B373"/>
    <w:rsid w:val="00D601A9"/>
    <w:rsid w:val="00D609B6"/>
    <w:rsid w:val="00D620F3"/>
    <w:rsid w:val="00D631D5"/>
    <w:rsid w:val="00D63C53"/>
    <w:rsid w:val="00D66051"/>
    <w:rsid w:val="00D66E16"/>
    <w:rsid w:val="00D66E47"/>
    <w:rsid w:val="00D71921"/>
    <w:rsid w:val="00D71B07"/>
    <w:rsid w:val="00D72A29"/>
    <w:rsid w:val="00D73227"/>
    <w:rsid w:val="00D73BD0"/>
    <w:rsid w:val="00D77870"/>
    <w:rsid w:val="00D812CC"/>
    <w:rsid w:val="00D8189C"/>
    <w:rsid w:val="00D82B1B"/>
    <w:rsid w:val="00D83CAD"/>
    <w:rsid w:val="00D8544A"/>
    <w:rsid w:val="00D85621"/>
    <w:rsid w:val="00D87602"/>
    <w:rsid w:val="00D9010B"/>
    <w:rsid w:val="00D906BE"/>
    <w:rsid w:val="00D9092C"/>
    <w:rsid w:val="00D90CBF"/>
    <w:rsid w:val="00D9123D"/>
    <w:rsid w:val="00D91283"/>
    <w:rsid w:val="00D9154B"/>
    <w:rsid w:val="00D92EFE"/>
    <w:rsid w:val="00D93CAC"/>
    <w:rsid w:val="00D9450D"/>
    <w:rsid w:val="00D9452A"/>
    <w:rsid w:val="00D94CE2"/>
    <w:rsid w:val="00D96F21"/>
    <w:rsid w:val="00DA0310"/>
    <w:rsid w:val="00DA0BE1"/>
    <w:rsid w:val="00DA10C3"/>
    <w:rsid w:val="00DA1236"/>
    <w:rsid w:val="00DA2DC7"/>
    <w:rsid w:val="00DA3EB4"/>
    <w:rsid w:val="00DA43F2"/>
    <w:rsid w:val="00DA4E66"/>
    <w:rsid w:val="00DA5414"/>
    <w:rsid w:val="00DA5EA0"/>
    <w:rsid w:val="00DA6A02"/>
    <w:rsid w:val="00DA71A4"/>
    <w:rsid w:val="00DB0017"/>
    <w:rsid w:val="00DB0554"/>
    <w:rsid w:val="00DB0C5E"/>
    <w:rsid w:val="00DB0F59"/>
    <w:rsid w:val="00DB123A"/>
    <w:rsid w:val="00DB1FCC"/>
    <w:rsid w:val="00DB2DD4"/>
    <w:rsid w:val="00DB333F"/>
    <w:rsid w:val="00DB3EE4"/>
    <w:rsid w:val="00DB5072"/>
    <w:rsid w:val="00DB5162"/>
    <w:rsid w:val="00DB657B"/>
    <w:rsid w:val="00DB7D94"/>
    <w:rsid w:val="00DC3175"/>
    <w:rsid w:val="00DC36B9"/>
    <w:rsid w:val="00DD02C0"/>
    <w:rsid w:val="00DD09A0"/>
    <w:rsid w:val="00DD154E"/>
    <w:rsid w:val="00DD2378"/>
    <w:rsid w:val="00DD2492"/>
    <w:rsid w:val="00DD2A9F"/>
    <w:rsid w:val="00DD4621"/>
    <w:rsid w:val="00DD48EF"/>
    <w:rsid w:val="00DD4B14"/>
    <w:rsid w:val="00DD4BF9"/>
    <w:rsid w:val="00DD58B7"/>
    <w:rsid w:val="00DD6017"/>
    <w:rsid w:val="00DD65FA"/>
    <w:rsid w:val="00DD6C16"/>
    <w:rsid w:val="00DD7EA0"/>
    <w:rsid w:val="00DE0DE9"/>
    <w:rsid w:val="00DE2F8B"/>
    <w:rsid w:val="00DE384D"/>
    <w:rsid w:val="00DE3AE8"/>
    <w:rsid w:val="00DE4797"/>
    <w:rsid w:val="00DE4825"/>
    <w:rsid w:val="00DE4872"/>
    <w:rsid w:val="00DE49F4"/>
    <w:rsid w:val="00DE508E"/>
    <w:rsid w:val="00DE54B3"/>
    <w:rsid w:val="00DE79E4"/>
    <w:rsid w:val="00DF0552"/>
    <w:rsid w:val="00DF1514"/>
    <w:rsid w:val="00DF15C5"/>
    <w:rsid w:val="00DF30BA"/>
    <w:rsid w:val="00DF3A24"/>
    <w:rsid w:val="00DF40D1"/>
    <w:rsid w:val="00DF4F47"/>
    <w:rsid w:val="00DF6887"/>
    <w:rsid w:val="00DF700F"/>
    <w:rsid w:val="00DF71C8"/>
    <w:rsid w:val="00DF7289"/>
    <w:rsid w:val="00DF73BA"/>
    <w:rsid w:val="00E026F0"/>
    <w:rsid w:val="00E0292D"/>
    <w:rsid w:val="00E03351"/>
    <w:rsid w:val="00E03A00"/>
    <w:rsid w:val="00E03E56"/>
    <w:rsid w:val="00E04C09"/>
    <w:rsid w:val="00E05240"/>
    <w:rsid w:val="00E05DC4"/>
    <w:rsid w:val="00E10720"/>
    <w:rsid w:val="00E10A91"/>
    <w:rsid w:val="00E11CD6"/>
    <w:rsid w:val="00E133F6"/>
    <w:rsid w:val="00E1512A"/>
    <w:rsid w:val="00E15B44"/>
    <w:rsid w:val="00E1694A"/>
    <w:rsid w:val="00E171B7"/>
    <w:rsid w:val="00E20773"/>
    <w:rsid w:val="00E2230A"/>
    <w:rsid w:val="00E23120"/>
    <w:rsid w:val="00E235B2"/>
    <w:rsid w:val="00E24224"/>
    <w:rsid w:val="00E24565"/>
    <w:rsid w:val="00E27380"/>
    <w:rsid w:val="00E27E03"/>
    <w:rsid w:val="00E30AB0"/>
    <w:rsid w:val="00E311ED"/>
    <w:rsid w:val="00E314F7"/>
    <w:rsid w:val="00E31A74"/>
    <w:rsid w:val="00E34574"/>
    <w:rsid w:val="00E354A9"/>
    <w:rsid w:val="00E3744E"/>
    <w:rsid w:val="00E375B2"/>
    <w:rsid w:val="00E4190E"/>
    <w:rsid w:val="00E43F53"/>
    <w:rsid w:val="00E44CEC"/>
    <w:rsid w:val="00E44D4D"/>
    <w:rsid w:val="00E44D95"/>
    <w:rsid w:val="00E44F29"/>
    <w:rsid w:val="00E450C7"/>
    <w:rsid w:val="00E463E7"/>
    <w:rsid w:val="00E5006D"/>
    <w:rsid w:val="00E50386"/>
    <w:rsid w:val="00E50AAA"/>
    <w:rsid w:val="00E52552"/>
    <w:rsid w:val="00E52D04"/>
    <w:rsid w:val="00E5508B"/>
    <w:rsid w:val="00E5655C"/>
    <w:rsid w:val="00E568A1"/>
    <w:rsid w:val="00E56DE4"/>
    <w:rsid w:val="00E5727C"/>
    <w:rsid w:val="00E57B72"/>
    <w:rsid w:val="00E60489"/>
    <w:rsid w:val="00E60C14"/>
    <w:rsid w:val="00E624AE"/>
    <w:rsid w:val="00E63C50"/>
    <w:rsid w:val="00E64E92"/>
    <w:rsid w:val="00E6598F"/>
    <w:rsid w:val="00E66054"/>
    <w:rsid w:val="00E665A4"/>
    <w:rsid w:val="00E671BA"/>
    <w:rsid w:val="00E67B65"/>
    <w:rsid w:val="00E67FA2"/>
    <w:rsid w:val="00E70132"/>
    <w:rsid w:val="00E71A3A"/>
    <w:rsid w:val="00E71A7F"/>
    <w:rsid w:val="00E72B67"/>
    <w:rsid w:val="00E73080"/>
    <w:rsid w:val="00E73A72"/>
    <w:rsid w:val="00E74A59"/>
    <w:rsid w:val="00E75AAA"/>
    <w:rsid w:val="00E75B26"/>
    <w:rsid w:val="00E8055F"/>
    <w:rsid w:val="00E80FAC"/>
    <w:rsid w:val="00E811A1"/>
    <w:rsid w:val="00E81F08"/>
    <w:rsid w:val="00E84019"/>
    <w:rsid w:val="00E8436D"/>
    <w:rsid w:val="00E8437C"/>
    <w:rsid w:val="00E854C5"/>
    <w:rsid w:val="00E8566B"/>
    <w:rsid w:val="00E85CA8"/>
    <w:rsid w:val="00E8634C"/>
    <w:rsid w:val="00E86CF7"/>
    <w:rsid w:val="00E87082"/>
    <w:rsid w:val="00E87D8C"/>
    <w:rsid w:val="00E87E18"/>
    <w:rsid w:val="00E90433"/>
    <w:rsid w:val="00E90DD4"/>
    <w:rsid w:val="00E90F47"/>
    <w:rsid w:val="00E912B6"/>
    <w:rsid w:val="00E926D1"/>
    <w:rsid w:val="00E92A2C"/>
    <w:rsid w:val="00E93365"/>
    <w:rsid w:val="00E93EFB"/>
    <w:rsid w:val="00E93F3F"/>
    <w:rsid w:val="00E94360"/>
    <w:rsid w:val="00E95650"/>
    <w:rsid w:val="00E95E49"/>
    <w:rsid w:val="00EA0732"/>
    <w:rsid w:val="00EA0840"/>
    <w:rsid w:val="00EA1AF8"/>
    <w:rsid w:val="00EA1B45"/>
    <w:rsid w:val="00EA323F"/>
    <w:rsid w:val="00EA37DA"/>
    <w:rsid w:val="00EA490C"/>
    <w:rsid w:val="00EA4FE9"/>
    <w:rsid w:val="00EA5893"/>
    <w:rsid w:val="00EA6936"/>
    <w:rsid w:val="00EA73CF"/>
    <w:rsid w:val="00EA7DB8"/>
    <w:rsid w:val="00EB042E"/>
    <w:rsid w:val="00EB479B"/>
    <w:rsid w:val="00EB50FB"/>
    <w:rsid w:val="00EB5661"/>
    <w:rsid w:val="00EB7BF5"/>
    <w:rsid w:val="00EC02C0"/>
    <w:rsid w:val="00EC125F"/>
    <w:rsid w:val="00EC1F57"/>
    <w:rsid w:val="00EC20F2"/>
    <w:rsid w:val="00EC30FD"/>
    <w:rsid w:val="00EC4834"/>
    <w:rsid w:val="00EC6C29"/>
    <w:rsid w:val="00EC7431"/>
    <w:rsid w:val="00EC7794"/>
    <w:rsid w:val="00ED06ED"/>
    <w:rsid w:val="00ED0D26"/>
    <w:rsid w:val="00ED2583"/>
    <w:rsid w:val="00ED3522"/>
    <w:rsid w:val="00ED5170"/>
    <w:rsid w:val="00ED6198"/>
    <w:rsid w:val="00ED6422"/>
    <w:rsid w:val="00ED6CD8"/>
    <w:rsid w:val="00EE0684"/>
    <w:rsid w:val="00EE17B0"/>
    <w:rsid w:val="00EE1DA4"/>
    <w:rsid w:val="00EE228F"/>
    <w:rsid w:val="00EE2FC4"/>
    <w:rsid w:val="00EE3F54"/>
    <w:rsid w:val="00EE4330"/>
    <w:rsid w:val="00EE4718"/>
    <w:rsid w:val="00EE5713"/>
    <w:rsid w:val="00EE761C"/>
    <w:rsid w:val="00EF025D"/>
    <w:rsid w:val="00EF3447"/>
    <w:rsid w:val="00EF34D9"/>
    <w:rsid w:val="00EF3823"/>
    <w:rsid w:val="00EF4019"/>
    <w:rsid w:val="00EF4747"/>
    <w:rsid w:val="00EF48D9"/>
    <w:rsid w:val="00EF539D"/>
    <w:rsid w:val="00EF5FBF"/>
    <w:rsid w:val="00EF662F"/>
    <w:rsid w:val="00EF6C15"/>
    <w:rsid w:val="00F00472"/>
    <w:rsid w:val="00F02A3B"/>
    <w:rsid w:val="00F06268"/>
    <w:rsid w:val="00F0664A"/>
    <w:rsid w:val="00F10BBE"/>
    <w:rsid w:val="00F10C72"/>
    <w:rsid w:val="00F11990"/>
    <w:rsid w:val="00F129AD"/>
    <w:rsid w:val="00F130D9"/>
    <w:rsid w:val="00F14879"/>
    <w:rsid w:val="00F14F50"/>
    <w:rsid w:val="00F15297"/>
    <w:rsid w:val="00F15F6C"/>
    <w:rsid w:val="00F1611E"/>
    <w:rsid w:val="00F1682B"/>
    <w:rsid w:val="00F16A38"/>
    <w:rsid w:val="00F205D4"/>
    <w:rsid w:val="00F20988"/>
    <w:rsid w:val="00F21633"/>
    <w:rsid w:val="00F22DCD"/>
    <w:rsid w:val="00F22EAA"/>
    <w:rsid w:val="00F25193"/>
    <w:rsid w:val="00F27BDF"/>
    <w:rsid w:val="00F30B03"/>
    <w:rsid w:val="00F319BE"/>
    <w:rsid w:val="00F32131"/>
    <w:rsid w:val="00F340AE"/>
    <w:rsid w:val="00F35899"/>
    <w:rsid w:val="00F37C44"/>
    <w:rsid w:val="00F40821"/>
    <w:rsid w:val="00F416FE"/>
    <w:rsid w:val="00F4298D"/>
    <w:rsid w:val="00F44044"/>
    <w:rsid w:val="00F45366"/>
    <w:rsid w:val="00F45DE8"/>
    <w:rsid w:val="00F47688"/>
    <w:rsid w:val="00F50B70"/>
    <w:rsid w:val="00F51961"/>
    <w:rsid w:val="00F51C4B"/>
    <w:rsid w:val="00F52BB0"/>
    <w:rsid w:val="00F52F82"/>
    <w:rsid w:val="00F53334"/>
    <w:rsid w:val="00F545EC"/>
    <w:rsid w:val="00F54687"/>
    <w:rsid w:val="00F54FF5"/>
    <w:rsid w:val="00F55F94"/>
    <w:rsid w:val="00F5711C"/>
    <w:rsid w:val="00F61A13"/>
    <w:rsid w:val="00F6232B"/>
    <w:rsid w:val="00F63416"/>
    <w:rsid w:val="00F63604"/>
    <w:rsid w:val="00F63B3F"/>
    <w:rsid w:val="00F646CE"/>
    <w:rsid w:val="00F64F1E"/>
    <w:rsid w:val="00F65492"/>
    <w:rsid w:val="00F65A2C"/>
    <w:rsid w:val="00F66AD9"/>
    <w:rsid w:val="00F67173"/>
    <w:rsid w:val="00F677F7"/>
    <w:rsid w:val="00F67D66"/>
    <w:rsid w:val="00F706BD"/>
    <w:rsid w:val="00F707AF"/>
    <w:rsid w:val="00F70853"/>
    <w:rsid w:val="00F70EDD"/>
    <w:rsid w:val="00F724D0"/>
    <w:rsid w:val="00F72B96"/>
    <w:rsid w:val="00F74683"/>
    <w:rsid w:val="00F74CCE"/>
    <w:rsid w:val="00F760BC"/>
    <w:rsid w:val="00F76D72"/>
    <w:rsid w:val="00F776B5"/>
    <w:rsid w:val="00F77975"/>
    <w:rsid w:val="00F779BC"/>
    <w:rsid w:val="00F8077C"/>
    <w:rsid w:val="00F80CB4"/>
    <w:rsid w:val="00F820F9"/>
    <w:rsid w:val="00F834C1"/>
    <w:rsid w:val="00F839AD"/>
    <w:rsid w:val="00F8539B"/>
    <w:rsid w:val="00F853F3"/>
    <w:rsid w:val="00F8668F"/>
    <w:rsid w:val="00F86C49"/>
    <w:rsid w:val="00F86E39"/>
    <w:rsid w:val="00F87C84"/>
    <w:rsid w:val="00F90056"/>
    <w:rsid w:val="00F907A6"/>
    <w:rsid w:val="00F91CD6"/>
    <w:rsid w:val="00F94409"/>
    <w:rsid w:val="00F953E6"/>
    <w:rsid w:val="00F957DC"/>
    <w:rsid w:val="00F95FEA"/>
    <w:rsid w:val="00F96B4A"/>
    <w:rsid w:val="00F97058"/>
    <w:rsid w:val="00F9714E"/>
    <w:rsid w:val="00F9791F"/>
    <w:rsid w:val="00F97A31"/>
    <w:rsid w:val="00FA0A9D"/>
    <w:rsid w:val="00FA436F"/>
    <w:rsid w:val="00FA61E7"/>
    <w:rsid w:val="00FA681F"/>
    <w:rsid w:val="00FA699A"/>
    <w:rsid w:val="00FA75F8"/>
    <w:rsid w:val="00FA7743"/>
    <w:rsid w:val="00FA7A81"/>
    <w:rsid w:val="00FA7ACC"/>
    <w:rsid w:val="00FB0571"/>
    <w:rsid w:val="00FB0B14"/>
    <w:rsid w:val="00FB1321"/>
    <w:rsid w:val="00FB196B"/>
    <w:rsid w:val="00FB1E9E"/>
    <w:rsid w:val="00FB2D53"/>
    <w:rsid w:val="00FB3D0D"/>
    <w:rsid w:val="00FB4926"/>
    <w:rsid w:val="00FB4D10"/>
    <w:rsid w:val="00FB68B9"/>
    <w:rsid w:val="00FB7712"/>
    <w:rsid w:val="00FC0E98"/>
    <w:rsid w:val="00FC16FB"/>
    <w:rsid w:val="00FC2A63"/>
    <w:rsid w:val="00FC30DD"/>
    <w:rsid w:val="00FC4117"/>
    <w:rsid w:val="00FD063A"/>
    <w:rsid w:val="00FD4328"/>
    <w:rsid w:val="00FD4E8B"/>
    <w:rsid w:val="00FD6FE6"/>
    <w:rsid w:val="00FD73D8"/>
    <w:rsid w:val="00FE0395"/>
    <w:rsid w:val="00FE0714"/>
    <w:rsid w:val="00FE080A"/>
    <w:rsid w:val="00FE2171"/>
    <w:rsid w:val="00FE353B"/>
    <w:rsid w:val="00FE4F55"/>
    <w:rsid w:val="00FE50A1"/>
    <w:rsid w:val="00FE69CD"/>
    <w:rsid w:val="00FE6D37"/>
    <w:rsid w:val="00FE7922"/>
    <w:rsid w:val="00FF0FD1"/>
    <w:rsid w:val="00FF1B4E"/>
    <w:rsid w:val="00FF2D08"/>
    <w:rsid w:val="00FF5880"/>
    <w:rsid w:val="00FF5933"/>
    <w:rsid w:val="00FF5CB0"/>
    <w:rsid w:val="00FF611F"/>
    <w:rsid w:val="00FF6E2E"/>
    <w:rsid w:val="00FF76AB"/>
    <w:rsid w:val="011F09C7"/>
    <w:rsid w:val="012E50BE"/>
    <w:rsid w:val="02D83902"/>
    <w:rsid w:val="02F8A68F"/>
    <w:rsid w:val="034F2541"/>
    <w:rsid w:val="03BE6B9C"/>
    <w:rsid w:val="04030202"/>
    <w:rsid w:val="040D5D8F"/>
    <w:rsid w:val="041A7E1F"/>
    <w:rsid w:val="04A43016"/>
    <w:rsid w:val="04EFEC56"/>
    <w:rsid w:val="0522EBAA"/>
    <w:rsid w:val="055DEE57"/>
    <w:rsid w:val="05AE41D1"/>
    <w:rsid w:val="05FEFA61"/>
    <w:rsid w:val="065CD984"/>
    <w:rsid w:val="06837949"/>
    <w:rsid w:val="068881FD"/>
    <w:rsid w:val="076E1800"/>
    <w:rsid w:val="077E8BF4"/>
    <w:rsid w:val="078D871C"/>
    <w:rsid w:val="079E0B25"/>
    <w:rsid w:val="0810F8E4"/>
    <w:rsid w:val="0836BB9C"/>
    <w:rsid w:val="08B8FC12"/>
    <w:rsid w:val="08BE3043"/>
    <w:rsid w:val="08DCF342"/>
    <w:rsid w:val="0924603D"/>
    <w:rsid w:val="0A557A07"/>
    <w:rsid w:val="0A6358BA"/>
    <w:rsid w:val="0A74D31C"/>
    <w:rsid w:val="0AEA5389"/>
    <w:rsid w:val="0B85B763"/>
    <w:rsid w:val="0BFDF521"/>
    <w:rsid w:val="0C55F833"/>
    <w:rsid w:val="0CA61C52"/>
    <w:rsid w:val="0D3E07A0"/>
    <w:rsid w:val="0D72D185"/>
    <w:rsid w:val="0DB90DFB"/>
    <w:rsid w:val="0E2E50D8"/>
    <w:rsid w:val="0E571F46"/>
    <w:rsid w:val="0E89E230"/>
    <w:rsid w:val="0F8E54AC"/>
    <w:rsid w:val="0FCA84EB"/>
    <w:rsid w:val="10B332DB"/>
    <w:rsid w:val="10CEFC41"/>
    <w:rsid w:val="1164C632"/>
    <w:rsid w:val="1170B76F"/>
    <w:rsid w:val="11B8163C"/>
    <w:rsid w:val="12A8E480"/>
    <w:rsid w:val="132977A4"/>
    <w:rsid w:val="13307FED"/>
    <w:rsid w:val="133F590B"/>
    <w:rsid w:val="14FFDE95"/>
    <w:rsid w:val="1538E2D3"/>
    <w:rsid w:val="1550EB0C"/>
    <w:rsid w:val="164BDD07"/>
    <w:rsid w:val="168AEBB1"/>
    <w:rsid w:val="1692788B"/>
    <w:rsid w:val="16A688B1"/>
    <w:rsid w:val="179E6199"/>
    <w:rsid w:val="186E21A0"/>
    <w:rsid w:val="18B74007"/>
    <w:rsid w:val="191F5E30"/>
    <w:rsid w:val="191FBD74"/>
    <w:rsid w:val="19CD166B"/>
    <w:rsid w:val="19DFBD85"/>
    <w:rsid w:val="19F83EB9"/>
    <w:rsid w:val="1A50EB47"/>
    <w:rsid w:val="1A549B61"/>
    <w:rsid w:val="1AAFF0EE"/>
    <w:rsid w:val="1BE15ECE"/>
    <w:rsid w:val="1C1098CC"/>
    <w:rsid w:val="1C6012EE"/>
    <w:rsid w:val="1C650497"/>
    <w:rsid w:val="1D1BDD61"/>
    <w:rsid w:val="1D409B61"/>
    <w:rsid w:val="1D4BE4D3"/>
    <w:rsid w:val="1D55021A"/>
    <w:rsid w:val="1DB0C26B"/>
    <w:rsid w:val="1DF422BB"/>
    <w:rsid w:val="1E66631C"/>
    <w:rsid w:val="1ED28215"/>
    <w:rsid w:val="1F16F7D4"/>
    <w:rsid w:val="1FDAF8E0"/>
    <w:rsid w:val="20724576"/>
    <w:rsid w:val="214B5A67"/>
    <w:rsid w:val="22400BDE"/>
    <w:rsid w:val="226CFA1E"/>
    <w:rsid w:val="22E2E57F"/>
    <w:rsid w:val="231CF3B2"/>
    <w:rsid w:val="232726E4"/>
    <w:rsid w:val="23FBA11B"/>
    <w:rsid w:val="24152E69"/>
    <w:rsid w:val="242C1C25"/>
    <w:rsid w:val="2473FDE2"/>
    <w:rsid w:val="24AA5E54"/>
    <w:rsid w:val="252D3A07"/>
    <w:rsid w:val="261F0FC9"/>
    <w:rsid w:val="2707A1EB"/>
    <w:rsid w:val="280E4132"/>
    <w:rsid w:val="2818952B"/>
    <w:rsid w:val="2844CAFA"/>
    <w:rsid w:val="2875D95A"/>
    <w:rsid w:val="29C36CC0"/>
    <w:rsid w:val="2A3E503D"/>
    <w:rsid w:val="2A440548"/>
    <w:rsid w:val="2B633E30"/>
    <w:rsid w:val="2CBC210A"/>
    <w:rsid w:val="2CD4141A"/>
    <w:rsid w:val="2CDDB881"/>
    <w:rsid w:val="2D65FE9E"/>
    <w:rsid w:val="2D7F5168"/>
    <w:rsid w:val="2D8A114D"/>
    <w:rsid w:val="2DF06951"/>
    <w:rsid w:val="2E005344"/>
    <w:rsid w:val="2E6521F2"/>
    <w:rsid w:val="2E671104"/>
    <w:rsid w:val="2F069EDA"/>
    <w:rsid w:val="2F3A436A"/>
    <w:rsid w:val="2F68B1DB"/>
    <w:rsid w:val="307CC827"/>
    <w:rsid w:val="31C2C9A4"/>
    <w:rsid w:val="31E56C3B"/>
    <w:rsid w:val="3297C62D"/>
    <w:rsid w:val="343A3B7A"/>
    <w:rsid w:val="3473058E"/>
    <w:rsid w:val="3543F00C"/>
    <w:rsid w:val="356414AB"/>
    <w:rsid w:val="37F0886B"/>
    <w:rsid w:val="383E2B45"/>
    <w:rsid w:val="38400EAC"/>
    <w:rsid w:val="3892BE43"/>
    <w:rsid w:val="38EAA4CA"/>
    <w:rsid w:val="3978615F"/>
    <w:rsid w:val="39AE47DA"/>
    <w:rsid w:val="39C5987A"/>
    <w:rsid w:val="39CF8909"/>
    <w:rsid w:val="39EE92E1"/>
    <w:rsid w:val="3AAC7E8E"/>
    <w:rsid w:val="3BBF3E03"/>
    <w:rsid w:val="3C30BD02"/>
    <w:rsid w:val="3C83DBD7"/>
    <w:rsid w:val="3D51CCE1"/>
    <w:rsid w:val="3D8762C1"/>
    <w:rsid w:val="3D96636E"/>
    <w:rsid w:val="3DA79BB5"/>
    <w:rsid w:val="3E145A5E"/>
    <w:rsid w:val="3E44A559"/>
    <w:rsid w:val="3E789E42"/>
    <w:rsid w:val="3E88E2CC"/>
    <w:rsid w:val="3F227181"/>
    <w:rsid w:val="3F98930D"/>
    <w:rsid w:val="3FB43E42"/>
    <w:rsid w:val="3FD55E50"/>
    <w:rsid w:val="3FFB998B"/>
    <w:rsid w:val="4002A09A"/>
    <w:rsid w:val="4009BED4"/>
    <w:rsid w:val="4014AB2B"/>
    <w:rsid w:val="40E89063"/>
    <w:rsid w:val="40E92200"/>
    <w:rsid w:val="4192098D"/>
    <w:rsid w:val="423CBFA7"/>
    <w:rsid w:val="42983DD9"/>
    <w:rsid w:val="43182CC7"/>
    <w:rsid w:val="447FE1AA"/>
    <w:rsid w:val="44DF306B"/>
    <w:rsid w:val="44E71582"/>
    <w:rsid w:val="45203E57"/>
    <w:rsid w:val="4526B9DF"/>
    <w:rsid w:val="45527407"/>
    <w:rsid w:val="45A76D0F"/>
    <w:rsid w:val="45B7AD3D"/>
    <w:rsid w:val="46310E70"/>
    <w:rsid w:val="46389142"/>
    <w:rsid w:val="47BB0FB0"/>
    <w:rsid w:val="47D5388E"/>
    <w:rsid w:val="48CB1C58"/>
    <w:rsid w:val="49BFAD8B"/>
    <w:rsid w:val="49CC0FE4"/>
    <w:rsid w:val="49DAD87C"/>
    <w:rsid w:val="4A2E488D"/>
    <w:rsid w:val="4AEB6B3B"/>
    <w:rsid w:val="4B76D12D"/>
    <w:rsid w:val="4BA03C30"/>
    <w:rsid w:val="4C3B496C"/>
    <w:rsid w:val="4CA260FE"/>
    <w:rsid w:val="4D568542"/>
    <w:rsid w:val="4DAE9572"/>
    <w:rsid w:val="4F158EAE"/>
    <w:rsid w:val="4F3B0F19"/>
    <w:rsid w:val="4FBE4564"/>
    <w:rsid w:val="4FD68BFD"/>
    <w:rsid w:val="504D3390"/>
    <w:rsid w:val="519B1029"/>
    <w:rsid w:val="52F240FC"/>
    <w:rsid w:val="530C2918"/>
    <w:rsid w:val="5312BC26"/>
    <w:rsid w:val="5376C19B"/>
    <w:rsid w:val="54060C58"/>
    <w:rsid w:val="541B638C"/>
    <w:rsid w:val="5432A207"/>
    <w:rsid w:val="55153112"/>
    <w:rsid w:val="57922967"/>
    <w:rsid w:val="583F1480"/>
    <w:rsid w:val="58D967E5"/>
    <w:rsid w:val="58F81B6D"/>
    <w:rsid w:val="58FF74B6"/>
    <w:rsid w:val="59837D64"/>
    <w:rsid w:val="5A7F4186"/>
    <w:rsid w:val="5AA9CE5B"/>
    <w:rsid w:val="5AB46C5A"/>
    <w:rsid w:val="5B7CCBC9"/>
    <w:rsid w:val="5B9324AF"/>
    <w:rsid w:val="5BE120D1"/>
    <w:rsid w:val="5BEFE5D8"/>
    <w:rsid w:val="5C8C06F8"/>
    <w:rsid w:val="5CFFBF3B"/>
    <w:rsid w:val="5D281ED4"/>
    <w:rsid w:val="5D3AE7B0"/>
    <w:rsid w:val="5DB65685"/>
    <w:rsid w:val="5DD14B8C"/>
    <w:rsid w:val="5DEE1908"/>
    <w:rsid w:val="5DEF27EE"/>
    <w:rsid w:val="5EB14054"/>
    <w:rsid w:val="5F801D86"/>
    <w:rsid w:val="60B32418"/>
    <w:rsid w:val="61597B4F"/>
    <w:rsid w:val="61E77B93"/>
    <w:rsid w:val="642D018D"/>
    <w:rsid w:val="643AE0BA"/>
    <w:rsid w:val="645627AF"/>
    <w:rsid w:val="64FCCA8F"/>
    <w:rsid w:val="667C8966"/>
    <w:rsid w:val="66B306AC"/>
    <w:rsid w:val="66E9132B"/>
    <w:rsid w:val="67146E9B"/>
    <w:rsid w:val="68107AA3"/>
    <w:rsid w:val="68FDB662"/>
    <w:rsid w:val="698DB17F"/>
    <w:rsid w:val="69D0A73E"/>
    <w:rsid w:val="6A48EE0E"/>
    <w:rsid w:val="6A569411"/>
    <w:rsid w:val="6A7DE38D"/>
    <w:rsid w:val="6B6DCC68"/>
    <w:rsid w:val="6BA4F348"/>
    <w:rsid w:val="6BB0D335"/>
    <w:rsid w:val="6CCF60EC"/>
    <w:rsid w:val="6CDC0826"/>
    <w:rsid w:val="6E080677"/>
    <w:rsid w:val="6E8161CD"/>
    <w:rsid w:val="6E94E4EC"/>
    <w:rsid w:val="6EDED1DB"/>
    <w:rsid w:val="6EF0C2DE"/>
    <w:rsid w:val="6EF498E4"/>
    <w:rsid w:val="6F367932"/>
    <w:rsid w:val="704D9CC7"/>
    <w:rsid w:val="70981F9A"/>
    <w:rsid w:val="70C3D955"/>
    <w:rsid w:val="70E7E3F6"/>
    <w:rsid w:val="71AAB4A7"/>
    <w:rsid w:val="7232E86E"/>
    <w:rsid w:val="72CA1765"/>
    <w:rsid w:val="72D25A0C"/>
    <w:rsid w:val="72F9F353"/>
    <w:rsid w:val="7302144A"/>
    <w:rsid w:val="7330B527"/>
    <w:rsid w:val="73556D42"/>
    <w:rsid w:val="7372386F"/>
    <w:rsid w:val="74216A42"/>
    <w:rsid w:val="75D28A93"/>
    <w:rsid w:val="75E2E3D5"/>
    <w:rsid w:val="76099CB6"/>
    <w:rsid w:val="767A8BCC"/>
    <w:rsid w:val="773C0A41"/>
    <w:rsid w:val="781F2019"/>
    <w:rsid w:val="78483E9B"/>
    <w:rsid w:val="787E0D2B"/>
    <w:rsid w:val="79DDDF85"/>
    <w:rsid w:val="7A43BAE8"/>
    <w:rsid w:val="7A974000"/>
    <w:rsid w:val="7B007F03"/>
    <w:rsid w:val="7B07C0FD"/>
    <w:rsid w:val="7B56846C"/>
    <w:rsid w:val="7B9A53C4"/>
    <w:rsid w:val="7BCCDC5E"/>
    <w:rsid w:val="7C8A66CA"/>
    <w:rsid w:val="7CACFFC6"/>
    <w:rsid w:val="7D554522"/>
    <w:rsid w:val="7DBE82DA"/>
    <w:rsid w:val="7E33AB4C"/>
    <w:rsid w:val="7E84A6BB"/>
    <w:rsid w:val="7E8836E6"/>
    <w:rsid w:val="7F2A6A9B"/>
    <w:rsid w:val="7F70CB61"/>
    <w:rsid w:val="7F895A3F"/>
    <w:rsid w:val="7F8CE67A"/>
    <w:rsid w:val="7F8E4BDB"/>
    <w:rsid w:val="7FDA3BE8"/>
    <w:rsid w:val="7FED2F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33AD1"/>
  <w15:chartTrackingRefBased/>
  <w15:docId w15:val="{C8DCE8A3-2E9E-4461-B715-E109DC05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19A"/>
    <w:pPr>
      <w:spacing w:after="0" w:line="480" w:lineRule="auto"/>
    </w:pPr>
    <w:rPr>
      <w:rFonts w:ascii="Times New Roman" w:hAnsi="Times New Roman" w:cs="Times New Roman"/>
    </w:rPr>
  </w:style>
  <w:style w:type="paragraph" w:styleId="Heading1">
    <w:name w:val="heading 1"/>
    <w:basedOn w:val="Normal"/>
    <w:next w:val="Normal"/>
    <w:link w:val="Heading1Char"/>
    <w:uiPriority w:val="9"/>
    <w:qFormat/>
    <w:rsid w:val="007061BD"/>
    <w:pPr>
      <w:outlineLvl w:val="0"/>
    </w:pPr>
    <w:rPr>
      <w:rFonts w:eastAsia="Times New Roman"/>
    </w:rPr>
  </w:style>
  <w:style w:type="paragraph" w:styleId="Heading2">
    <w:name w:val="heading 2"/>
    <w:basedOn w:val="Normal"/>
    <w:next w:val="Normal"/>
    <w:link w:val="Heading2Char"/>
    <w:uiPriority w:val="9"/>
    <w:unhideWhenUsed/>
    <w:qFormat/>
    <w:rsid w:val="00BB48F2"/>
    <w:pPr>
      <w:outlineLvl w:val="1"/>
    </w:pPr>
    <w:rPr>
      <w:rFonts w:eastAsia="Times New Roman"/>
      <w:color w:val="000000" w:themeColor="text1"/>
      <w:u w:val="single"/>
    </w:rPr>
  </w:style>
  <w:style w:type="paragraph" w:styleId="Heading3">
    <w:name w:val="heading 3"/>
    <w:basedOn w:val="Normal"/>
    <w:next w:val="Normal"/>
    <w:link w:val="Heading3Char"/>
    <w:uiPriority w:val="9"/>
    <w:unhideWhenUsed/>
    <w:qFormat/>
    <w:rsid w:val="005D4942"/>
    <w:pPr>
      <w:ind w:firstLine="720"/>
      <w:outlineLvl w:val="2"/>
    </w:pPr>
    <w:rPr>
      <w:i/>
      <w:iCs/>
      <w:u w:val="single"/>
    </w:rPr>
  </w:style>
  <w:style w:type="paragraph" w:styleId="Heading4">
    <w:name w:val="heading 4"/>
    <w:basedOn w:val="Normal"/>
    <w:next w:val="Normal"/>
    <w:link w:val="Heading4Char"/>
    <w:uiPriority w:val="9"/>
    <w:semiHidden/>
    <w:unhideWhenUsed/>
    <w:qFormat/>
    <w:rsid w:val="00274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C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C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C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C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1BD"/>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B48F2"/>
    <w:rPr>
      <w:rFonts w:ascii="Times New Roman" w:eastAsia="Times New Roman" w:hAnsi="Times New Roman" w:cs="Times New Roman"/>
      <w:color w:val="000000" w:themeColor="text1"/>
      <w:u w:val="single"/>
    </w:rPr>
  </w:style>
  <w:style w:type="character" w:customStyle="1" w:styleId="Heading3Char">
    <w:name w:val="Heading 3 Char"/>
    <w:basedOn w:val="DefaultParagraphFont"/>
    <w:link w:val="Heading3"/>
    <w:uiPriority w:val="9"/>
    <w:rsid w:val="005D4942"/>
    <w:rPr>
      <w:rFonts w:ascii="Times New Roman" w:hAnsi="Times New Roman" w:cs="Times New Roman"/>
      <w:i/>
      <w:iCs/>
      <w:u w:val="single"/>
    </w:rPr>
  </w:style>
  <w:style w:type="character" w:customStyle="1" w:styleId="Heading4Char">
    <w:name w:val="Heading 4 Char"/>
    <w:basedOn w:val="DefaultParagraphFont"/>
    <w:link w:val="Heading4"/>
    <w:uiPriority w:val="9"/>
    <w:semiHidden/>
    <w:rsid w:val="00274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CE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274CE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274CE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274CE1"/>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274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CE1"/>
    <w:pPr>
      <w:spacing w:before="160"/>
      <w:jc w:val="center"/>
    </w:pPr>
    <w:rPr>
      <w:i/>
      <w:iCs/>
      <w:color w:val="404040" w:themeColor="text1" w:themeTint="BF"/>
    </w:rPr>
  </w:style>
  <w:style w:type="character" w:customStyle="1" w:styleId="QuoteChar">
    <w:name w:val="Quote Char"/>
    <w:basedOn w:val="DefaultParagraphFont"/>
    <w:link w:val="Quote"/>
    <w:uiPriority w:val="29"/>
    <w:rsid w:val="00274CE1"/>
    <w:rPr>
      <w:i/>
      <w:iCs/>
      <w:color w:val="404040" w:themeColor="text1" w:themeTint="BF"/>
    </w:rPr>
  </w:style>
  <w:style w:type="paragraph" w:styleId="ListParagraph">
    <w:name w:val="List Paragraph"/>
    <w:basedOn w:val="Normal"/>
    <w:uiPriority w:val="34"/>
    <w:qFormat/>
    <w:rsid w:val="00274CE1"/>
    <w:pPr>
      <w:ind w:left="720"/>
      <w:contextualSpacing/>
    </w:pPr>
  </w:style>
  <w:style w:type="character" w:styleId="IntenseEmphasis">
    <w:name w:val="Intense Emphasis"/>
    <w:basedOn w:val="DefaultParagraphFont"/>
    <w:uiPriority w:val="21"/>
    <w:qFormat/>
    <w:rsid w:val="00274CE1"/>
    <w:rPr>
      <w:i/>
      <w:iCs/>
      <w:color w:val="0F4761" w:themeColor="accent1" w:themeShade="BF"/>
    </w:rPr>
  </w:style>
  <w:style w:type="paragraph" w:styleId="IntenseQuote">
    <w:name w:val="Intense Quote"/>
    <w:basedOn w:val="Normal"/>
    <w:next w:val="Normal"/>
    <w:link w:val="IntenseQuoteChar"/>
    <w:uiPriority w:val="30"/>
    <w:qFormat/>
    <w:rsid w:val="00274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CE1"/>
    <w:rPr>
      <w:i/>
      <w:iCs/>
      <w:color w:val="0F4761" w:themeColor="accent1" w:themeShade="BF"/>
    </w:rPr>
  </w:style>
  <w:style w:type="character" w:styleId="IntenseReference">
    <w:name w:val="Intense Reference"/>
    <w:basedOn w:val="DefaultParagraphFont"/>
    <w:uiPriority w:val="32"/>
    <w:qFormat/>
    <w:rsid w:val="00274CE1"/>
    <w:rPr>
      <w:b/>
      <w:bCs/>
      <w:smallCaps/>
      <w:color w:val="0F4761" w:themeColor="accent1" w:themeShade="BF"/>
      <w:spacing w:val="5"/>
    </w:rPr>
  </w:style>
  <w:style w:type="character" w:styleId="LineNumber">
    <w:name w:val="line number"/>
    <w:basedOn w:val="DefaultParagraphFont"/>
    <w:uiPriority w:val="99"/>
    <w:semiHidden/>
    <w:unhideWhenUsed/>
    <w:rsid w:val="001C7492"/>
    <w:rPr>
      <w:rFonts w:ascii="Times New Roman" w:hAnsi="Times New Roman"/>
    </w:rPr>
  </w:style>
  <w:style w:type="table" w:styleId="TableGrid">
    <w:name w:val="Table Grid"/>
    <w:basedOn w:val="TableNormal"/>
    <w:uiPriority w:val="39"/>
    <w:rsid w:val="005D1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0DC5"/>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722848"/>
    <w:rPr>
      <w:color w:val="467886" w:themeColor="hyperlink"/>
      <w:u w:val="single"/>
    </w:rPr>
  </w:style>
  <w:style w:type="character" w:styleId="UnresolvedMention">
    <w:name w:val="Unresolved Mention"/>
    <w:basedOn w:val="DefaultParagraphFont"/>
    <w:uiPriority w:val="99"/>
    <w:semiHidden/>
    <w:unhideWhenUsed/>
    <w:rsid w:val="00722848"/>
    <w:rPr>
      <w:color w:val="605E5C"/>
      <w:shd w:val="clear" w:color="auto" w:fill="E1DFDD"/>
    </w:rPr>
  </w:style>
  <w:style w:type="paragraph" w:styleId="Bibliography">
    <w:name w:val="Bibliography"/>
    <w:basedOn w:val="Normal"/>
    <w:next w:val="Normal"/>
    <w:uiPriority w:val="37"/>
    <w:unhideWhenUsed/>
    <w:rsid w:val="00BE6F68"/>
    <w:pPr>
      <w:spacing w:after="240" w:line="240" w:lineRule="auto"/>
      <w:ind w:left="720" w:hanging="720"/>
    </w:pPr>
  </w:style>
  <w:style w:type="paragraph" w:styleId="Header">
    <w:name w:val="header"/>
    <w:basedOn w:val="Normal"/>
    <w:link w:val="HeaderChar"/>
    <w:uiPriority w:val="99"/>
    <w:unhideWhenUsed/>
    <w:rsid w:val="002C753D"/>
    <w:pPr>
      <w:tabs>
        <w:tab w:val="center" w:pos="4680"/>
        <w:tab w:val="right" w:pos="9360"/>
      </w:tabs>
      <w:spacing w:line="240" w:lineRule="auto"/>
    </w:pPr>
  </w:style>
  <w:style w:type="character" w:customStyle="1" w:styleId="HeaderChar">
    <w:name w:val="Header Char"/>
    <w:basedOn w:val="DefaultParagraphFont"/>
    <w:link w:val="Header"/>
    <w:uiPriority w:val="99"/>
    <w:rsid w:val="002C753D"/>
    <w:rPr>
      <w:rFonts w:ascii="Times New Roman" w:hAnsi="Times New Roman" w:cs="Times New Roman"/>
    </w:rPr>
  </w:style>
  <w:style w:type="paragraph" w:styleId="Footer">
    <w:name w:val="footer"/>
    <w:basedOn w:val="Normal"/>
    <w:link w:val="FooterChar"/>
    <w:uiPriority w:val="99"/>
    <w:unhideWhenUsed/>
    <w:rsid w:val="002C753D"/>
    <w:pPr>
      <w:tabs>
        <w:tab w:val="center" w:pos="4680"/>
        <w:tab w:val="right" w:pos="9360"/>
      </w:tabs>
      <w:spacing w:line="240" w:lineRule="auto"/>
    </w:pPr>
  </w:style>
  <w:style w:type="character" w:customStyle="1" w:styleId="FooterChar">
    <w:name w:val="Footer Char"/>
    <w:basedOn w:val="DefaultParagraphFont"/>
    <w:link w:val="Footer"/>
    <w:uiPriority w:val="99"/>
    <w:rsid w:val="002C753D"/>
    <w:rPr>
      <w:rFonts w:ascii="Times New Roman" w:hAnsi="Times New Roman" w:cs="Times New Roman"/>
    </w:rPr>
  </w:style>
  <w:style w:type="character" w:styleId="PageNumber">
    <w:name w:val="page number"/>
    <w:basedOn w:val="DefaultParagraphFont"/>
    <w:uiPriority w:val="99"/>
    <w:semiHidden/>
    <w:unhideWhenUsed/>
    <w:rsid w:val="00B3168A"/>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D6759"/>
    <w:pPr>
      <w:spacing w:after="0" w:line="240" w:lineRule="auto"/>
    </w:pPr>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BA5A7C"/>
    <w:rPr>
      <w:b/>
      <w:bCs/>
    </w:rPr>
  </w:style>
  <w:style w:type="character" w:customStyle="1" w:styleId="CommentSubjectChar">
    <w:name w:val="Comment Subject Char"/>
    <w:basedOn w:val="CommentTextChar"/>
    <w:link w:val="CommentSubject"/>
    <w:uiPriority w:val="99"/>
    <w:semiHidden/>
    <w:rsid w:val="00BA5A7C"/>
    <w:rPr>
      <w:rFonts w:ascii="Times New Roman" w:hAnsi="Times New Roman" w:cs="Times New Roman"/>
      <w:b/>
      <w:bCs/>
      <w:sz w:val="20"/>
      <w:szCs w:val="20"/>
    </w:rPr>
  </w:style>
  <w:style w:type="character" w:styleId="PlaceholderText">
    <w:name w:val="Placeholder Text"/>
    <w:basedOn w:val="DefaultParagraphFont"/>
    <w:uiPriority w:val="99"/>
    <w:semiHidden/>
    <w:rsid w:val="00585FD0"/>
    <w:rPr>
      <w:color w:val="666666"/>
    </w:rPr>
  </w:style>
  <w:style w:type="character" w:styleId="Emphasis">
    <w:name w:val="Emphasis"/>
    <w:basedOn w:val="DefaultParagraphFont"/>
    <w:uiPriority w:val="20"/>
    <w:qFormat/>
    <w:rsid w:val="008A0A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78607">
      <w:bodyDiv w:val="1"/>
      <w:marLeft w:val="0"/>
      <w:marRight w:val="0"/>
      <w:marTop w:val="0"/>
      <w:marBottom w:val="0"/>
      <w:divBdr>
        <w:top w:val="none" w:sz="0" w:space="0" w:color="auto"/>
        <w:left w:val="none" w:sz="0" w:space="0" w:color="auto"/>
        <w:bottom w:val="none" w:sz="0" w:space="0" w:color="auto"/>
        <w:right w:val="none" w:sz="0" w:space="0" w:color="auto"/>
      </w:divBdr>
    </w:div>
    <w:div w:id="206070075">
      <w:bodyDiv w:val="1"/>
      <w:marLeft w:val="0"/>
      <w:marRight w:val="0"/>
      <w:marTop w:val="0"/>
      <w:marBottom w:val="0"/>
      <w:divBdr>
        <w:top w:val="none" w:sz="0" w:space="0" w:color="auto"/>
        <w:left w:val="none" w:sz="0" w:space="0" w:color="auto"/>
        <w:bottom w:val="none" w:sz="0" w:space="0" w:color="auto"/>
        <w:right w:val="none" w:sz="0" w:space="0" w:color="auto"/>
      </w:divBdr>
    </w:div>
    <w:div w:id="277369707">
      <w:bodyDiv w:val="1"/>
      <w:marLeft w:val="0"/>
      <w:marRight w:val="0"/>
      <w:marTop w:val="0"/>
      <w:marBottom w:val="0"/>
      <w:divBdr>
        <w:top w:val="none" w:sz="0" w:space="0" w:color="auto"/>
        <w:left w:val="none" w:sz="0" w:space="0" w:color="auto"/>
        <w:bottom w:val="none" w:sz="0" w:space="0" w:color="auto"/>
        <w:right w:val="none" w:sz="0" w:space="0" w:color="auto"/>
      </w:divBdr>
    </w:div>
    <w:div w:id="304051135">
      <w:bodyDiv w:val="1"/>
      <w:marLeft w:val="0"/>
      <w:marRight w:val="0"/>
      <w:marTop w:val="0"/>
      <w:marBottom w:val="0"/>
      <w:divBdr>
        <w:top w:val="none" w:sz="0" w:space="0" w:color="auto"/>
        <w:left w:val="none" w:sz="0" w:space="0" w:color="auto"/>
        <w:bottom w:val="none" w:sz="0" w:space="0" w:color="auto"/>
        <w:right w:val="none" w:sz="0" w:space="0" w:color="auto"/>
      </w:divBdr>
    </w:div>
    <w:div w:id="306127172">
      <w:bodyDiv w:val="1"/>
      <w:marLeft w:val="0"/>
      <w:marRight w:val="0"/>
      <w:marTop w:val="0"/>
      <w:marBottom w:val="0"/>
      <w:divBdr>
        <w:top w:val="none" w:sz="0" w:space="0" w:color="auto"/>
        <w:left w:val="none" w:sz="0" w:space="0" w:color="auto"/>
        <w:bottom w:val="none" w:sz="0" w:space="0" w:color="auto"/>
        <w:right w:val="none" w:sz="0" w:space="0" w:color="auto"/>
      </w:divBdr>
    </w:div>
    <w:div w:id="430010302">
      <w:bodyDiv w:val="1"/>
      <w:marLeft w:val="0"/>
      <w:marRight w:val="0"/>
      <w:marTop w:val="0"/>
      <w:marBottom w:val="0"/>
      <w:divBdr>
        <w:top w:val="none" w:sz="0" w:space="0" w:color="auto"/>
        <w:left w:val="none" w:sz="0" w:space="0" w:color="auto"/>
        <w:bottom w:val="none" w:sz="0" w:space="0" w:color="auto"/>
        <w:right w:val="none" w:sz="0" w:space="0" w:color="auto"/>
      </w:divBdr>
    </w:div>
    <w:div w:id="430467220">
      <w:bodyDiv w:val="1"/>
      <w:marLeft w:val="0"/>
      <w:marRight w:val="0"/>
      <w:marTop w:val="0"/>
      <w:marBottom w:val="0"/>
      <w:divBdr>
        <w:top w:val="none" w:sz="0" w:space="0" w:color="auto"/>
        <w:left w:val="none" w:sz="0" w:space="0" w:color="auto"/>
        <w:bottom w:val="none" w:sz="0" w:space="0" w:color="auto"/>
        <w:right w:val="none" w:sz="0" w:space="0" w:color="auto"/>
      </w:divBdr>
    </w:div>
    <w:div w:id="504244316">
      <w:bodyDiv w:val="1"/>
      <w:marLeft w:val="0"/>
      <w:marRight w:val="0"/>
      <w:marTop w:val="0"/>
      <w:marBottom w:val="0"/>
      <w:divBdr>
        <w:top w:val="none" w:sz="0" w:space="0" w:color="auto"/>
        <w:left w:val="none" w:sz="0" w:space="0" w:color="auto"/>
        <w:bottom w:val="none" w:sz="0" w:space="0" w:color="auto"/>
        <w:right w:val="none" w:sz="0" w:space="0" w:color="auto"/>
      </w:divBdr>
    </w:div>
    <w:div w:id="553859249">
      <w:bodyDiv w:val="1"/>
      <w:marLeft w:val="0"/>
      <w:marRight w:val="0"/>
      <w:marTop w:val="0"/>
      <w:marBottom w:val="0"/>
      <w:divBdr>
        <w:top w:val="none" w:sz="0" w:space="0" w:color="auto"/>
        <w:left w:val="none" w:sz="0" w:space="0" w:color="auto"/>
        <w:bottom w:val="none" w:sz="0" w:space="0" w:color="auto"/>
        <w:right w:val="none" w:sz="0" w:space="0" w:color="auto"/>
      </w:divBdr>
    </w:div>
    <w:div w:id="603537709">
      <w:bodyDiv w:val="1"/>
      <w:marLeft w:val="0"/>
      <w:marRight w:val="0"/>
      <w:marTop w:val="0"/>
      <w:marBottom w:val="0"/>
      <w:divBdr>
        <w:top w:val="none" w:sz="0" w:space="0" w:color="auto"/>
        <w:left w:val="none" w:sz="0" w:space="0" w:color="auto"/>
        <w:bottom w:val="none" w:sz="0" w:space="0" w:color="auto"/>
        <w:right w:val="none" w:sz="0" w:space="0" w:color="auto"/>
      </w:divBdr>
    </w:div>
    <w:div w:id="647245399">
      <w:bodyDiv w:val="1"/>
      <w:marLeft w:val="0"/>
      <w:marRight w:val="0"/>
      <w:marTop w:val="0"/>
      <w:marBottom w:val="0"/>
      <w:divBdr>
        <w:top w:val="none" w:sz="0" w:space="0" w:color="auto"/>
        <w:left w:val="none" w:sz="0" w:space="0" w:color="auto"/>
        <w:bottom w:val="none" w:sz="0" w:space="0" w:color="auto"/>
        <w:right w:val="none" w:sz="0" w:space="0" w:color="auto"/>
      </w:divBdr>
    </w:div>
    <w:div w:id="725029584">
      <w:bodyDiv w:val="1"/>
      <w:marLeft w:val="0"/>
      <w:marRight w:val="0"/>
      <w:marTop w:val="0"/>
      <w:marBottom w:val="0"/>
      <w:divBdr>
        <w:top w:val="none" w:sz="0" w:space="0" w:color="auto"/>
        <w:left w:val="none" w:sz="0" w:space="0" w:color="auto"/>
        <w:bottom w:val="none" w:sz="0" w:space="0" w:color="auto"/>
        <w:right w:val="none" w:sz="0" w:space="0" w:color="auto"/>
      </w:divBdr>
    </w:div>
    <w:div w:id="791097834">
      <w:bodyDiv w:val="1"/>
      <w:marLeft w:val="0"/>
      <w:marRight w:val="0"/>
      <w:marTop w:val="0"/>
      <w:marBottom w:val="0"/>
      <w:divBdr>
        <w:top w:val="none" w:sz="0" w:space="0" w:color="auto"/>
        <w:left w:val="none" w:sz="0" w:space="0" w:color="auto"/>
        <w:bottom w:val="none" w:sz="0" w:space="0" w:color="auto"/>
        <w:right w:val="none" w:sz="0" w:space="0" w:color="auto"/>
      </w:divBdr>
    </w:div>
    <w:div w:id="800997241">
      <w:bodyDiv w:val="1"/>
      <w:marLeft w:val="0"/>
      <w:marRight w:val="0"/>
      <w:marTop w:val="0"/>
      <w:marBottom w:val="0"/>
      <w:divBdr>
        <w:top w:val="none" w:sz="0" w:space="0" w:color="auto"/>
        <w:left w:val="none" w:sz="0" w:space="0" w:color="auto"/>
        <w:bottom w:val="none" w:sz="0" w:space="0" w:color="auto"/>
        <w:right w:val="none" w:sz="0" w:space="0" w:color="auto"/>
      </w:divBdr>
    </w:div>
    <w:div w:id="814834593">
      <w:bodyDiv w:val="1"/>
      <w:marLeft w:val="0"/>
      <w:marRight w:val="0"/>
      <w:marTop w:val="0"/>
      <w:marBottom w:val="0"/>
      <w:divBdr>
        <w:top w:val="none" w:sz="0" w:space="0" w:color="auto"/>
        <w:left w:val="none" w:sz="0" w:space="0" w:color="auto"/>
        <w:bottom w:val="none" w:sz="0" w:space="0" w:color="auto"/>
        <w:right w:val="none" w:sz="0" w:space="0" w:color="auto"/>
      </w:divBdr>
    </w:div>
    <w:div w:id="871068922">
      <w:bodyDiv w:val="1"/>
      <w:marLeft w:val="0"/>
      <w:marRight w:val="0"/>
      <w:marTop w:val="0"/>
      <w:marBottom w:val="0"/>
      <w:divBdr>
        <w:top w:val="none" w:sz="0" w:space="0" w:color="auto"/>
        <w:left w:val="none" w:sz="0" w:space="0" w:color="auto"/>
        <w:bottom w:val="none" w:sz="0" w:space="0" w:color="auto"/>
        <w:right w:val="none" w:sz="0" w:space="0" w:color="auto"/>
      </w:divBdr>
    </w:div>
    <w:div w:id="917640188">
      <w:bodyDiv w:val="1"/>
      <w:marLeft w:val="0"/>
      <w:marRight w:val="0"/>
      <w:marTop w:val="0"/>
      <w:marBottom w:val="0"/>
      <w:divBdr>
        <w:top w:val="none" w:sz="0" w:space="0" w:color="auto"/>
        <w:left w:val="none" w:sz="0" w:space="0" w:color="auto"/>
        <w:bottom w:val="none" w:sz="0" w:space="0" w:color="auto"/>
        <w:right w:val="none" w:sz="0" w:space="0" w:color="auto"/>
      </w:divBdr>
    </w:div>
    <w:div w:id="1103958756">
      <w:bodyDiv w:val="1"/>
      <w:marLeft w:val="0"/>
      <w:marRight w:val="0"/>
      <w:marTop w:val="0"/>
      <w:marBottom w:val="0"/>
      <w:divBdr>
        <w:top w:val="none" w:sz="0" w:space="0" w:color="auto"/>
        <w:left w:val="none" w:sz="0" w:space="0" w:color="auto"/>
        <w:bottom w:val="none" w:sz="0" w:space="0" w:color="auto"/>
        <w:right w:val="none" w:sz="0" w:space="0" w:color="auto"/>
      </w:divBdr>
    </w:div>
    <w:div w:id="1113356875">
      <w:bodyDiv w:val="1"/>
      <w:marLeft w:val="0"/>
      <w:marRight w:val="0"/>
      <w:marTop w:val="0"/>
      <w:marBottom w:val="0"/>
      <w:divBdr>
        <w:top w:val="none" w:sz="0" w:space="0" w:color="auto"/>
        <w:left w:val="none" w:sz="0" w:space="0" w:color="auto"/>
        <w:bottom w:val="none" w:sz="0" w:space="0" w:color="auto"/>
        <w:right w:val="none" w:sz="0" w:space="0" w:color="auto"/>
      </w:divBdr>
    </w:div>
    <w:div w:id="1184825834">
      <w:bodyDiv w:val="1"/>
      <w:marLeft w:val="0"/>
      <w:marRight w:val="0"/>
      <w:marTop w:val="0"/>
      <w:marBottom w:val="0"/>
      <w:divBdr>
        <w:top w:val="none" w:sz="0" w:space="0" w:color="auto"/>
        <w:left w:val="none" w:sz="0" w:space="0" w:color="auto"/>
        <w:bottom w:val="none" w:sz="0" w:space="0" w:color="auto"/>
        <w:right w:val="none" w:sz="0" w:space="0" w:color="auto"/>
      </w:divBdr>
    </w:div>
    <w:div w:id="1470973156">
      <w:bodyDiv w:val="1"/>
      <w:marLeft w:val="0"/>
      <w:marRight w:val="0"/>
      <w:marTop w:val="0"/>
      <w:marBottom w:val="0"/>
      <w:divBdr>
        <w:top w:val="none" w:sz="0" w:space="0" w:color="auto"/>
        <w:left w:val="none" w:sz="0" w:space="0" w:color="auto"/>
        <w:bottom w:val="none" w:sz="0" w:space="0" w:color="auto"/>
        <w:right w:val="none" w:sz="0" w:space="0" w:color="auto"/>
      </w:divBdr>
    </w:div>
    <w:div w:id="1602301520">
      <w:bodyDiv w:val="1"/>
      <w:marLeft w:val="0"/>
      <w:marRight w:val="0"/>
      <w:marTop w:val="0"/>
      <w:marBottom w:val="0"/>
      <w:divBdr>
        <w:top w:val="none" w:sz="0" w:space="0" w:color="auto"/>
        <w:left w:val="none" w:sz="0" w:space="0" w:color="auto"/>
        <w:bottom w:val="none" w:sz="0" w:space="0" w:color="auto"/>
        <w:right w:val="none" w:sz="0" w:space="0" w:color="auto"/>
      </w:divBdr>
    </w:div>
    <w:div w:id="1647781415">
      <w:bodyDiv w:val="1"/>
      <w:marLeft w:val="0"/>
      <w:marRight w:val="0"/>
      <w:marTop w:val="0"/>
      <w:marBottom w:val="0"/>
      <w:divBdr>
        <w:top w:val="none" w:sz="0" w:space="0" w:color="auto"/>
        <w:left w:val="none" w:sz="0" w:space="0" w:color="auto"/>
        <w:bottom w:val="none" w:sz="0" w:space="0" w:color="auto"/>
        <w:right w:val="none" w:sz="0" w:space="0" w:color="auto"/>
      </w:divBdr>
    </w:div>
    <w:div w:id="1671785057">
      <w:bodyDiv w:val="1"/>
      <w:marLeft w:val="0"/>
      <w:marRight w:val="0"/>
      <w:marTop w:val="0"/>
      <w:marBottom w:val="0"/>
      <w:divBdr>
        <w:top w:val="none" w:sz="0" w:space="0" w:color="auto"/>
        <w:left w:val="none" w:sz="0" w:space="0" w:color="auto"/>
        <w:bottom w:val="none" w:sz="0" w:space="0" w:color="auto"/>
        <w:right w:val="none" w:sz="0" w:space="0" w:color="auto"/>
      </w:divBdr>
    </w:div>
    <w:div w:id="1676959800">
      <w:bodyDiv w:val="1"/>
      <w:marLeft w:val="0"/>
      <w:marRight w:val="0"/>
      <w:marTop w:val="0"/>
      <w:marBottom w:val="0"/>
      <w:divBdr>
        <w:top w:val="none" w:sz="0" w:space="0" w:color="auto"/>
        <w:left w:val="none" w:sz="0" w:space="0" w:color="auto"/>
        <w:bottom w:val="none" w:sz="0" w:space="0" w:color="auto"/>
        <w:right w:val="none" w:sz="0" w:space="0" w:color="auto"/>
      </w:divBdr>
    </w:div>
    <w:div w:id="1708988975">
      <w:bodyDiv w:val="1"/>
      <w:marLeft w:val="0"/>
      <w:marRight w:val="0"/>
      <w:marTop w:val="0"/>
      <w:marBottom w:val="0"/>
      <w:divBdr>
        <w:top w:val="none" w:sz="0" w:space="0" w:color="auto"/>
        <w:left w:val="none" w:sz="0" w:space="0" w:color="auto"/>
        <w:bottom w:val="none" w:sz="0" w:space="0" w:color="auto"/>
        <w:right w:val="none" w:sz="0" w:space="0" w:color="auto"/>
      </w:divBdr>
    </w:div>
    <w:div w:id="1781292508">
      <w:bodyDiv w:val="1"/>
      <w:marLeft w:val="0"/>
      <w:marRight w:val="0"/>
      <w:marTop w:val="0"/>
      <w:marBottom w:val="0"/>
      <w:divBdr>
        <w:top w:val="none" w:sz="0" w:space="0" w:color="auto"/>
        <w:left w:val="none" w:sz="0" w:space="0" w:color="auto"/>
        <w:bottom w:val="none" w:sz="0" w:space="0" w:color="auto"/>
        <w:right w:val="none" w:sz="0" w:space="0" w:color="auto"/>
      </w:divBdr>
    </w:div>
    <w:div w:id="1807896311">
      <w:bodyDiv w:val="1"/>
      <w:marLeft w:val="0"/>
      <w:marRight w:val="0"/>
      <w:marTop w:val="0"/>
      <w:marBottom w:val="0"/>
      <w:divBdr>
        <w:top w:val="none" w:sz="0" w:space="0" w:color="auto"/>
        <w:left w:val="none" w:sz="0" w:space="0" w:color="auto"/>
        <w:bottom w:val="none" w:sz="0" w:space="0" w:color="auto"/>
        <w:right w:val="none" w:sz="0" w:space="0" w:color="auto"/>
      </w:divBdr>
    </w:div>
    <w:div w:id="1833058718">
      <w:bodyDiv w:val="1"/>
      <w:marLeft w:val="0"/>
      <w:marRight w:val="0"/>
      <w:marTop w:val="0"/>
      <w:marBottom w:val="0"/>
      <w:divBdr>
        <w:top w:val="none" w:sz="0" w:space="0" w:color="auto"/>
        <w:left w:val="none" w:sz="0" w:space="0" w:color="auto"/>
        <w:bottom w:val="none" w:sz="0" w:space="0" w:color="auto"/>
        <w:right w:val="none" w:sz="0" w:space="0" w:color="auto"/>
      </w:divBdr>
    </w:div>
    <w:div w:id="2015957246">
      <w:bodyDiv w:val="1"/>
      <w:marLeft w:val="0"/>
      <w:marRight w:val="0"/>
      <w:marTop w:val="0"/>
      <w:marBottom w:val="0"/>
      <w:divBdr>
        <w:top w:val="none" w:sz="0" w:space="0" w:color="auto"/>
        <w:left w:val="none" w:sz="0" w:space="0" w:color="auto"/>
        <w:bottom w:val="none" w:sz="0" w:space="0" w:color="auto"/>
        <w:right w:val="none" w:sz="0" w:space="0" w:color="auto"/>
      </w:divBdr>
    </w:div>
    <w:div w:id="2081756341">
      <w:bodyDiv w:val="1"/>
      <w:marLeft w:val="0"/>
      <w:marRight w:val="0"/>
      <w:marTop w:val="0"/>
      <w:marBottom w:val="0"/>
      <w:divBdr>
        <w:top w:val="none" w:sz="0" w:space="0" w:color="auto"/>
        <w:left w:val="none" w:sz="0" w:space="0" w:color="auto"/>
        <w:bottom w:val="none" w:sz="0" w:space="0" w:color="auto"/>
        <w:right w:val="none" w:sz="0" w:space="0" w:color="auto"/>
      </w:divBdr>
    </w:div>
    <w:div w:id="2096045452">
      <w:bodyDiv w:val="1"/>
      <w:marLeft w:val="0"/>
      <w:marRight w:val="0"/>
      <w:marTop w:val="0"/>
      <w:marBottom w:val="0"/>
      <w:divBdr>
        <w:top w:val="none" w:sz="0" w:space="0" w:color="auto"/>
        <w:left w:val="none" w:sz="0" w:space="0" w:color="auto"/>
        <w:bottom w:val="none" w:sz="0" w:space="0" w:color="auto"/>
        <w:right w:val="none" w:sz="0" w:space="0" w:color="auto"/>
      </w:divBdr>
    </w:div>
    <w:div w:id="2100326561">
      <w:bodyDiv w:val="1"/>
      <w:marLeft w:val="0"/>
      <w:marRight w:val="0"/>
      <w:marTop w:val="0"/>
      <w:marBottom w:val="0"/>
      <w:divBdr>
        <w:top w:val="none" w:sz="0" w:space="0" w:color="auto"/>
        <w:left w:val="none" w:sz="0" w:space="0" w:color="auto"/>
        <w:bottom w:val="none" w:sz="0" w:space="0" w:color="auto"/>
        <w:right w:val="none" w:sz="0" w:space="0" w:color="auto"/>
      </w:divBdr>
    </w:div>
    <w:div w:id="213817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5-8827-021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strand89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AA3AC-3608-3446-959D-3DCD7EF8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28</Pages>
  <Words>28983</Words>
  <Characters>144915</Characters>
  <Application>Microsoft Office Word</Application>
  <DocSecurity>0</DocSecurity>
  <Lines>72457</Lines>
  <Paragraphs>28982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Strand, Jackson</dc:creator>
  <cp:keywords/>
  <dc:description/>
  <cp:lastModifiedBy>Strand, Jackson</cp:lastModifiedBy>
  <cp:revision>25</cp:revision>
  <cp:lastPrinted>2026-04-02T19:30:00Z</cp:lastPrinted>
  <dcterms:created xsi:type="dcterms:W3CDTF">2026-04-02T17:06:00Z</dcterms:created>
  <dcterms:modified xsi:type="dcterms:W3CDTF">2026-04-02T23:01:00Z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id="wS90xIuu"/&gt;&lt;style id="http://www.zotero.org/styles/journal-of-chemical-ecology" hasBibliography="1" bibliographyStyleHasBeenSet="1"/&gt;&lt;prefs&gt;&lt;pref name="fieldType" value="Field"/&gt;&lt;/prefs&gt;&lt;/data&gt;</vt:lpwstr>
  </property>
</Properties>
</file>