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7.png" ContentType="image/png"/>
  <Override PartName="/word/media/rId51.png" ContentType="image/png"/>
  <Override PartName="/word/media/rId55.png" ContentType="image/png"/>
  <Override PartName="/word/media/rId5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Importance</w:t>
      </w:r>
      <w:r>
        <w:t xml:space="preserve"> </w:t>
      </w:r>
      <w:r>
        <w:t xml:space="preserve">of</w:t>
      </w:r>
      <w:r>
        <w:t xml:space="preserve"> </w:t>
      </w:r>
      <w:r>
        <w:t xml:space="preserve">Smooth</w:t>
      </w:r>
      <w:r>
        <w:t xml:space="preserve"> </w:t>
      </w:r>
      <w:r>
        <w:t xml:space="preserve">Brome</w:t>
      </w:r>
      <w:r>
        <w:t xml:space="preserve"> </w:t>
      </w:r>
      <w:r>
        <w:t xml:space="preserve">in</w:t>
      </w:r>
      <w:r>
        <w:t xml:space="preserve"> </w:t>
      </w:r>
      <w:r>
        <w:t xml:space="preserve">Managing</w:t>
      </w:r>
      <w:r>
        <w:t xml:space="preserve"> </w:t>
      </w:r>
      <w:r>
        <w:t xml:space="preserve">Wheat</w:t>
      </w:r>
      <w:r>
        <w:t xml:space="preserve"> </w:t>
      </w:r>
      <w:r>
        <w:t xml:space="preserve">Stem</w:t>
      </w:r>
      <w:r>
        <w:t xml:space="preserve"> </w:t>
      </w:r>
      <w:r>
        <w:t xml:space="preserve">Sawfly</w:t>
      </w:r>
      <w:r>
        <w:t xml:space="preserve"> </w:t>
      </w:r>
      <w:r>
        <w:t xml:space="preserve">(Hymenoptera:</w:t>
      </w:r>
      <w:r>
        <w:t xml:space="preserve"> </w:t>
      </w:r>
      <w:r>
        <w:t xml:space="preserve">Cephidae)</w:t>
      </w:r>
      <w:r>
        <w:t xml:space="preserve"> </w:t>
      </w:r>
      <w:r>
        <w:t xml:space="preserve">via</w:t>
      </w:r>
      <w:r>
        <w:t xml:space="preserve"> </w:t>
      </w:r>
      <w:r>
        <w:t xml:space="preserve">Its</w:t>
      </w:r>
      <w:r>
        <w:t xml:space="preserve"> </w:t>
      </w:r>
      <w:r>
        <w:t xml:space="preserve">Associated</w:t>
      </w:r>
      <w:r>
        <w:t xml:space="preserve"> </w:t>
      </w:r>
      <w:r>
        <w:t xml:space="preserve">Braconid</w:t>
      </w:r>
      <w:r>
        <w:t xml:space="preserve"> </w:t>
      </w:r>
      <w:r>
        <w:t xml:space="preserve">Parasitoids</w:t>
      </w:r>
    </w:p>
    <w:p>
      <w:pPr>
        <w:pStyle w:val="Date"/>
      </w:pPr>
      <w:r>
        <w:t xml:space="preserve">May</w:t>
      </w:r>
      <w:r>
        <w:t xml:space="preserve"> </w:t>
      </w:r>
      <w:r>
        <w:t xml:space="preserve">14,</w:t>
      </w:r>
      <w:r>
        <w:t xml:space="preserve"> </w:t>
      </w:r>
      <w:r>
        <w:t xml:space="preserve">2024</w:t>
      </w:r>
    </w:p>
    <w:p>
      <w:pPr>
        <w:pStyle w:val="FirstParagraph"/>
      </w:pPr>
      <w:r>
        <w:t xml:space="preserve">This document can be downloaded as either a .docx or .pdf document. Please be aware that conversion may cause the formatting to be altered.</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bCs/>
            <w:b/>
          </w:rPr>
          <w:t xml:space="preserve">Tscharntke2016?</w:t>
        </w:r>
      </w:hyperlink>
      <w:r>
        <w:t xml:space="preserve">)</w:t>
      </w:r>
      <w:r>
        <w:t xml:space="preserve">. While ecologists recognize the role of natural habitats in supporting biodiversity and providing potential ecosystem services like biological pest control, many farmers perceive these habitat remnants as occupying valuable cropland or even as sources of pests. As such, documenting how pest and natural enemy populations interact with agricultural landscapes alongside natural habitat buffers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habitat types can serve as sinks for decreased populations</w:t>
      </w:r>
      <w:r>
        <w:t xml:space="preserve"> </w:t>
      </w:r>
      <w:r>
        <w:t xml:space="preserve">(</w:t>
      </w:r>
      <w:hyperlink w:anchor="ref-Kennedy2000">
        <w:r>
          <w:rPr>
            <w:rStyle w:val="Hyperlink"/>
            <w:bCs/>
            <w:b/>
          </w:rPr>
          <w:t xml:space="preserve">Kennedy2000?</w:t>
        </w:r>
      </w:hyperlink>
      <w:r>
        <w:t xml:space="preserve">)</w:t>
      </w:r>
      <w:r>
        <w:t xml:space="preserve">. Altering the presence of these resources can have impacts on pest or natural enemy populations and can alter the ecology between the examined species. For example, diversifying the edge cropping of organic Kale (</w:t>
      </w:r>
      <w:r>
        <w:rPr>
          <w:iCs/>
          <w:i/>
        </w:rPr>
        <w:t xml:space="preserve">Brassica oleracea</w:t>
      </w:r>
      <w:r>
        <w:t xml:space="preserve">) using fava beans, fennel, and marigolds results in a diversity in beneficial arthropod communities that help reduce phytophagous herbivory</w:t>
      </w:r>
      <w:r>
        <w:t xml:space="preserve"> </w:t>
      </w:r>
      <w:r>
        <w:t xml:space="preserve">(</w:t>
      </w:r>
      <w:hyperlink w:anchor="ref-DeMorias2023">
        <w:r>
          <w:rPr>
            <w:rStyle w:val="Hyperlink"/>
            <w:bCs/>
            <w:b/>
          </w:rPr>
          <w:t xml:space="preserve">DeMorias2023?</w:t>
        </w:r>
      </w:hyperlink>
      <w:r>
        <w:t xml:space="preserve">)</w:t>
      </w:r>
      <w:r>
        <w:t xml:space="preserve">. Understanding the ways in which landscape habitat diversity impacts the ecological relationship between pest and enemy is crucial for effectively managing pest species in large scale cropping systems.</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w:t>
      </w:r>
      <w:r>
        <w:t xml:space="preserve"> </w:t>
      </w:r>
      <w:r>
        <w:t xml:space="preserve">(</w:t>
      </w:r>
      <w:hyperlink w:anchor="ref-Lesieur2016">
        <w:r>
          <w:rPr>
            <w:rStyle w:val="Hyperlink"/>
          </w:rPr>
          <w:t xml:space="preserve">Lesieur et al. 2016</w:t>
        </w:r>
      </w:hyperlink>
      <w:r>
        <w:t xml:space="preserve">)</w:t>
      </w:r>
      <w:r>
        <w:t xml:space="preserve">. Originally adept at utilizing wild grass hosts, the species became a major pest to cultivated cereals as the practice became more prevalent following European settlement, becoming a notable pest of winter wheat in 1990</w:t>
      </w:r>
      <w:r>
        <w:t xml:space="preserve"> </w:t>
      </w:r>
      <w:r>
        <w:t xml:space="preserve">(</w:t>
      </w:r>
      <w:hyperlink w:anchor="ref-Criddle1993">
        <w:r>
          <w:rPr>
            <w:rStyle w:val="Hyperlink"/>
            <w:bCs/>
            <w:b/>
          </w:rPr>
          <w:t xml:space="preserve">Criddle1993?</w:t>
        </w:r>
      </w:hyperlink>
      <w:r>
        <w:t xml:space="preserve">)</w:t>
      </w:r>
      <w:r>
        <w:t xml:space="preserve">. Adult female WSS use their saw-like ovipositor to lay their eggs in the lumen of stems, where the eggs hatch, leading to larval feeding of parenchyma tissue</w:t>
      </w:r>
      <w:r>
        <w:t xml:space="preserve"> </w:t>
      </w:r>
      <w:r>
        <w:t xml:space="preserve">(</w:t>
      </w:r>
      <w:hyperlink w:anchor="ref-Holmes1954">
        <w:r>
          <w:rPr>
            <w:rStyle w:val="Hyperlink"/>
            <w:bCs/>
            <w:b/>
          </w:rPr>
          <w:t xml:space="preserve">Holmes1954?</w:t>
        </w:r>
      </w:hyperlink>
      <w:r>
        <w:t xml:space="preserve">)</w:t>
      </w:r>
      <w:r>
        <w:t xml:space="preserve">. Economic damage manifests in the form of both kernel weight reduction caused by tissue damage</w:t>
      </w:r>
      <w:r>
        <w:t xml:space="preserve"> </w:t>
      </w:r>
      <w:r>
        <w:t xml:space="preserve">(</w:t>
      </w:r>
      <w:hyperlink w:anchor="ref-Beres2011">
        <w:r>
          <w:rPr>
            <w:rStyle w:val="Hyperlink"/>
          </w:rPr>
          <w:t xml:space="preserve">Beres et al. 2011</w:t>
        </w:r>
      </w:hyperlink>
      <w:r>
        <w:t xml:space="preserve">)</w:t>
      </w:r>
      <w:r>
        <w:t xml:space="preserve"> </w:t>
      </w:r>
      <w:r>
        <w:t xml:space="preserve">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w:t>
      </w:r>
    </w:p>
    <w:p>
      <w:pPr>
        <w:pStyle w:val="BodyText"/>
      </w:pPr>
      <w:r>
        <w:t xml:space="preserve">Several parsitoid species attack</w:t>
      </w:r>
      <w:r>
        <w:t xml:space="preserve"> </w:t>
      </w:r>
      <w:r>
        <w:rPr>
          <w:iCs/>
          <w:i/>
        </w:rPr>
        <w:t xml:space="preserve">C. cinctus</w:t>
      </w:r>
      <w:r>
        <w:t xml:space="preserve"> </w:t>
      </w:r>
      <w:r>
        <w:t xml:space="preserve">within wild grass hosts</w:t>
      </w:r>
      <w:r>
        <w:t xml:space="preserve"> </w:t>
      </w:r>
      <w:r>
        <w:t xml:space="preserve">(</w:t>
      </w:r>
      <w:hyperlink w:anchor="ref-Davis1955">
        <w:r>
          <w:rPr>
            <w:rStyle w:val="Hyperlink"/>
          </w:rPr>
          <w:t xml:space="preserve">Davis, Benton, and Somsen 1955</w:t>
        </w:r>
      </w:hyperlink>
      <w:r>
        <w:t xml:space="preserve">;</w:t>
      </w:r>
      <w:r>
        <w:t xml:space="preserve"> </w:t>
      </w:r>
      <w:hyperlink w:anchor="ref-Morrill1998">
        <w:r>
          <w:rPr>
            <w:rStyle w:val="Hyperlink"/>
          </w:rPr>
          <w:t xml:space="preserve">Morrill, Kushnak, and Gabor 1998</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
        <w:r>
          <w:rPr>
            <w:rStyle w:val="Hyperlink"/>
            <w:bCs/>
            <w:b/>
          </w:rPr>
          <w:t xml:space="preserve">Morrill?</w:t>
        </w:r>
      </w:hyperlink>
      <w:r>
        <w:t xml:space="preserve">)</w:t>
      </w:r>
      <w:r>
        <w:t xml:space="preserve">. These two host-specific ectoparasitoids are native to North America. Both parasitoids are bivoltine, with the first generation present in Montana from late June to late July, while the second generation is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paralyze</w:t>
      </w:r>
      <w:r>
        <w:t xml:space="preserve"> </w:t>
      </w:r>
      <w:r>
        <w:rPr>
          <w:iCs/>
          <w:i/>
        </w:rPr>
        <w:t xml:space="preserve">C. cinctus</w:t>
      </w:r>
      <w:r>
        <w:t xml:space="preserve"> </w:t>
      </w:r>
      <w:r>
        <w:t xml:space="preserve">larvae within the host stem, paralyze the host larvae, and depositing 1 (</w:t>
      </w:r>
      <w:r>
        <w:rPr>
          <w:iCs/>
          <w:i/>
        </w:rPr>
        <w:t xml:space="preserve">B. cephi</w:t>
      </w:r>
      <w:r>
        <w:t xml:space="preserve">) to three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Weaver, and Miller 2008</w:t>
        </w:r>
      </w:hyperlink>
      <w:r>
        <w:t xml:space="preserve">;</w:t>
      </w:r>
      <w:r>
        <w:t xml:space="preserve"> </w:t>
      </w:r>
      <w:hyperlink w:anchor="ref-Rand2020">
        <w:r>
          <w:rPr>
            <w:rStyle w:val="Hyperlink"/>
          </w:rPr>
          <w:t xml:space="preserve">Rand, Richmond, and Dougherty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Smooth brome (</w:t>
      </w:r>
      <w:r>
        <w:rPr>
          <w:iCs/>
          <w:i/>
        </w:rPr>
        <w:t xml:space="preserve">Bromus inermis</w:t>
      </w:r>
      <w:r>
        <w:t xml:space="preserve"> </w:t>
      </w:r>
      <w:r>
        <w:t xml:space="preserve">Lyess) is a Eurasian cool-season rhizomatous grass introduced to the United States in 1884</w:t>
      </w:r>
      <w:r>
        <w:t xml:space="preserve"> </w:t>
      </w:r>
      <w:r>
        <w:t xml:space="preserve">(</w:t>
      </w:r>
      <w:hyperlink w:anchor="ref-Salesman2011">
        <w:r>
          <w:rPr>
            <w:rStyle w:val="Hyperlink"/>
          </w:rPr>
          <w:t xml:space="preserve">Salesman and Jessica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However,</w:t>
      </w:r>
      <w:r>
        <w:t xml:space="preserve"> </w:t>
      </w:r>
      <w:r>
        <w:rPr>
          <w:iCs/>
          <w:i/>
        </w:rPr>
        <w:t xml:space="preserve">B. inermis</w:t>
      </w:r>
      <w:r>
        <w:t xml:space="preserve"> </w:t>
      </w:r>
      <w:r>
        <w:t xml:space="preserve">still holds immense ecological value in its late senescence and WSS antibiosis properties</w:t>
      </w:r>
      <w:r>
        <w:t xml:space="preserve"> </w:t>
      </w:r>
      <w:r>
        <w:t xml:space="preserve">(</w:t>
      </w:r>
      <w:hyperlink w:anchor="ref-Otfinowski2006">
        <w:r>
          <w:rPr>
            <w:rStyle w:val="Hyperlink"/>
          </w:rPr>
          <w:t xml:space="preserve">Otfinowski, Kenkel, and Catling 2006</w:t>
        </w:r>
      </w:hyperlink>
      <w:r>
        <w:t xml:space="preserve">;</w:t>
      </w:r>
      <w:r>
        <w:t xml:space="preserve"> </w:t>
      </w:r>
      <w:hyperlink w:anchor="ref-Rand2024">
        <w:r>
          <w:rPr>
            <w:rStyle w:val="Hyperlink"/>
            <w:bCs/>
            <w:b/>
          </w:rPr>
          <w:t xml:space="preserve">Rand2024?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bCs/>
            <w:b/>
          </w:rPr>
          <w:t xml:space="preserve">Wilson1923?</w:t>
        </w:r>
      </w:hyperlink>
      <w:r>
        <w:t xml:space="preserve">)</w:t>
      </w:r>
      <w:r>
        <w:t xml:space="preserve">. As both</w:t>
      </w:r>
      <w:r>
        <w:t xml:space="preserve"> </w:t>
      </w:r>
      <w:r>
        <w:rPr>
          <w:iCs/>
          <w:i/>
        </w:rPr>
        <w:t xml:space="preserve">C. cinctus</w:t>
      </w:r>
      <w:r>
        <w:t xml:space="preserve"> </w:t>
      </w:r>
      <w:r>
        <w:t xml:space="preserve">and its conspecific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similarly to wolves and moose on Isle Royale</w:t>
      </w:r>
      <w:r>
        <w:t xml:space="preserve"> </w:t>
      </w:r>
      <w:r>
        <w:t xml:space="preserve">(</w:t>
      </w:r>
      <w:hyperlink w:anchor="ref-Peterson1999">
        <w:r>
          <w:rPr>
            <w:rStyle w:val="Hyperlink"/>
            <w:bCs/>
            <w:b/>
          </w:rPr>
          <w:t xml:space="preserve">Peterson1999?</w:t>
        </w:r>
      </w:hyperlink>
      <w:r>
        <w:t xml:space="preserve">)</w:t>
      </w:r>
      <w:r>
        <w:t xml:space="preserve">, with wolf populations spiking following moose populations, leading to a crash in moose, and as such, a crash in wolf.</w:t>
      </w:r>
    </w:p>
    <w:p>
      <w:pPr>
        <w:pStyle w:val="BodyText"/>
      </w:pPr>
      <w:r>
        <w:t xml:space="preserve">We examined historical weather data from our field sites in central and northern Montana. We used this data to understand how changes in global climate trends may be impacting</w:t>
      </w:r>
      <w:r>
        <w:t xml:space="preserve"> </w:t>
      </w:r>
      <w:r>
        <w:rPr>
          <w:iCs/>
          <w:i/>
        </w:rPr>
        <w:t xml:space="preserve">B. cephis</w:t>
      </w:r>
      <w:r>
        <w:t xml:space="preserve"> </w:t>
      </w:r>
      <w:r>
        <w:t xml:space="preserve">and</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braconid parsitoids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The second study examined rates of cutting and parasitism at field sites in central and northern Montana.</w:t>
      </w:r>
    </w:p>
    <w:p>
      <w:pPr>
        <w:pStyle w:val="BodyText"/>
      </w:pPr>
      <w:r>
        <w:t xml:space="preserve">Using these studies, we addressed three questions, 1) what is the total cutting, and thus source rate, of</w:t>
      </w:r>
      <w:r>
        <w:t xml:space="preserve"> </w:t>
      </w:r>
      <w:r>
        <w:rPr>
          <w:iCs/>
          <w:i/>
        </w:rPr>
        <w:t xml:space="preserve">C. cinctus</w:t>
      </w:r>
      <w:r>
        <w:t xml:space="preserve"> </w:t>
      </w:r>
      <w:r>
        <w:t xml:space="preserve">from</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adjacent cultivated wheat fields.</w:t>
      </w:r>
    </w:p>
    <w:bookmarkEnd w:id="21"/>
    <w:bookmarkStart w:id="25" w:name="materials-and-methods"/>
    <w:p>
      <w:pPr>
        <w:pStyle w:val="Heading2"/>
      </w:pPr>
      <w:r>
        <w:t xml:space="preserve">Materials and Methods</w:t>
      </w:r>
    </w:p>
    <w:bookmarkStart w:id="22" w:name="weather-data-and-ndvi-analysis"/>
    <w:p>
      <w:pPr>
        <w:pStyle w:val="Heading3"/>
      </w:pPr>
      <w:r>
        <w:t xml:space="preserve">Weather data and NDVI analysis</w:t>
      </w:r>
    </w:p>
    <w:p>
      <w:pPr>
        <w:pStyle w:val="FirstParagraph"/>
      </w:pPr>
      <w:r>
        <w:rPr>
          <w:iCs/>
          <w:i/>
        </w:rPr>
        <w:t xml:space="preserve">Weather data.</w:t>
      </w:r>
      <w:r>
        <w:t xml:space="preserve"> </w:t>
      </w:r>
      <w:r>
        <w:t xml:space="preserve">We assessed the long and medium term temperature and precipitation trends of our field sites using weather data from the National Oceanic and Atmospheric Administration (NOAA, Silver Spring, MA, USA). Data for each field site was averaged from three of the closest weather stations to that location. Data was plotted using R Studio (R Studio version 2024.04.0+735, R 2024)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Data was then fit using a linear model using the</w:t>
      </w:r>
      <w:r>
        <w:t xml:space="preserve"> </w:t>
      </w:r>
      <w:r>
        <w:t xml:space="preserve">‘</w:t>
      </w:r>
      <w:r>
        <w:t xml:space="preserve">lm</w:t>
      </w:r>
      <w:r>
        <w:t xml:space="preserve">’</w:t>
      </w:r>
      <w:r>
        <w:t xml:space="preserve"> </w:t>
      </w:r>
      <w:r>
        <w:t xml:space="preserve">command using average yearly precipitation (inches) as the response variable and year as the predictor.</w:t>
      </w:r>
    </w:p>
    <w:p>
      <w:pPr>
        <w:pStyle w:val="BodyText"/>
      </w:pPr>
      <w:r>
        <w:rPr>
          <w:iCs/>
          <w:i/>
        </w:rPr>
        <w:t xml:space="preserve">NDVI analysis.</w:t>
      </w:r>
      <w:r>
        <w:t xml:space="preserve"> </w:t>
      </w:r>
      <w:r>
        <w:t xml:space="preserve">We compared the relative greening throughout the growing season between wheat fields and adjacent</w:t>
      </w:r>
      <w:r>
        <w:t xml:space="preserve"> </w:t>
      </w:r>
      <w:r>
        <w:rPr>
          <w:iCs/>
          <w:i/>
        </w:rPr>
        <w:t xml:space="preserve">B. inermis</w:t>
      </w:r>
      <w:r>
        <w:t xml:space="preserve"> </w:t>
      </w:r>
      <w:r>
        <w:t xml:space="preserve">using the normalized difference vegetation index (NDVI). NDVI is typically used to assess vegetation health and density, and is calculated from the visible and near-infared light reflected by vegetation</w:t>
      </w:r>
      <w:r>
        <w:t xml:space="preserve"> </w:t>
      </w:r>
      <w:r>
        <w:t xml:space="preserve">(</w:t>
      </w:r>
      <w:hyperlink w:anchor="ref-Pettorelli2005">
        <w:r>
          <w:rPr>
            <w:rStyle w:val="Hyperlink"/>
          </w:rPr>
          <w:t xml:space="preserve">Pettorelli et al. 2005</w:t>
        </w:r>
      </w:hyperlink>
      <w:r>
        <w:t xml:space="preserve">)</w:t>
      </w:r>
      <w:r>
        <w:t xml:space="preserve">. Data was downloaded using Google Earth Engine (Google Inc. 2023, Mountain View, CA, USA).</w:t>
      </w:r>
    </w:p>
    <w:bookmarkEnd w:id="22"/>
    <w:bookmarkStart w:id="23"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sliced open using X-Acto® knives to collect data on infestation, dead larvae, live larvae, and parasitism at each internode.</w:t>
      </w:r>
    </w:p>
    <w:bookmarkEnd w:id="23"/>
    <w:bookmarkStart w:id="24" w:name="montana-field-survey"/>
    <w:p>
      <w:pPr>
        <w:pStyle w:val="Heading3"/>
      </w:pPr>
      <w:r>
        <w:t xml:space="preserve">Montana Field Survey</w:t>
      </w:r>
    </w:p>
    <w:p>
      <w:pPr>
        <w:pStyle w:val="FirstParagraph"/>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Sites were chosen across 2 counties in north-central Montana, United States. (Chouteau, Judith Basin), which consistently experience high</w:t>
      </w:r>
      <w:r>
        <w:t xml:space="preserve"> </w:t>
      </w:r>
      <w:r>
        <w:rPr>
          <w:iCs/>
          <w:i/>
        </w:rPr>
        <w:t xml:space="preserve">C. cinctus</w:t>
      </w:r>
      <w:r>
        <w:t xml:space="preserve"> </w:t>
      </w:r>
      <w:r>
        <w:t xml:space="preserve">pressure. Samples were collected from wheat fields and adjacent</w:t>
      </w:r>
      <w:r>
        <w:t xml:space="preserve"> </w:t>
      </w:r>
      <w:r>
        <w:rPr>
          <w:iCs/>
          <w:i/>
        </w:rPr>
        <w:t xml:space="preserve">B. inermis</w:t>
      </w:r>
      <w:r>
        <w:t xml:space="preserve"> </w:t>
      </w:r>
      <w:r>
        <w:t xml:space="preserve">in early July and late August in 2021, 2022, and 2023 from sites in Big Sandy, Moccasin, and Amsterdam,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wet storage until dissection. Stems were dissected lengthwise with a fine-bladed scalpel to determine presence or absence of</w:t>
      </w:r>
      <w:r>
        <w:t xml:space="preserve"> </w:t>
      </w:r>
      <w:r>
        <w:rPr>
          <w:iCs/>
          <w:i/>
        </w:rPr>
        <w:t xml:space="preserve">C. cinctus</w:t>
      </w:r>
      <w:r>
        <w:t xml:space="preserve"> </w:t>
      </w:r>
      <w:r>
        <w:t xml:space="preserve">larvae infestation, live eggs, dead eggs, dead larvae, live larvae, parasitism, and cutting. Sawfly larvae were identified based on descriptions in Criddle (1915) and Wallace and McNeal (1996).</w:t>
      </w:r>
    </w:p>
    <w:p>
      <w:pPr>
        <w:pStyle w:val="BodyText"/>
      </w:pPr>
      <w:r>
        <w:rPr>
          <w:iCs/>
          <w:i/>
        </w:rPr>
        <w:t xml:space="preserve">Statistical Analysis.</w:t>
      </w:r>
      <w:r>
        <w:t xml:space="preserve"> </w:t>
      </w: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Douglas Bates, Bolker, and Walker 2015</w:t>
        </w:r>
      </w:hyperlink>
      <w:r>
        <w:t xml:space="preserve">)</w:t>
      </w:r>
      <w:r>
        <w:t xml:space="preserve"> </w:t>
      </w:r>
      <w:r>
        <w:t xml:space="preserve">to examine the effects of location and year (fixed effects) on each of the three response variables: proportion of stems infested, proportion of stems cut, and proportion os stems parasitized by</w:t>
      </w:r>
      <w:r>
        <w:t xml:space="preserve"> </w:t>
      </w:r>
      <w:r>
        <w:rPr>
          <w:iCs/>
          <w:i/>
        </w:rPr>
        <w:t xml:space="preserve">Bracon</w:t>
      </w:r>
      <w:r>
        <w:t xml:space="preserve"> </w:t>
      </w:r>
      <w:r>
        <w:t xml:space="preserve">spp. ’</w:t>
      </w:r>
    </w:p>
    <w:p>
      <w:pPr>
        <w:pStyle w:val="BodyText"/>
      </w:pPr>
      <w:r>
        <w:t xml:space="preserve">To better understand the density of</w:t>
      </w:r>
      <w:r>
        <w:t xml:space="preserve"> </w:t>
      </w:r>
      <w:r>
        <w:rPr>
          <w:iCs/>
          <w:i/>
        </w:rPr>
        <w:t xml:space="preserve">Bracon</w:t>
      </w:r>
      <w:r>
        <w:t xml:space="preserve"> </w:t>
      </w:r>
      <w:r>
        <w:t xml:space="preserve">spp. within the wheat and</w:t>
      </w:r>
      <w:r>
        <w:t xml:space="preserve"> </w:t>
      </w:r>
      <w:r>
        <w:rPr>
          <w:iCs/>
          <w:i/>
        </w:rPr>
        <w:t xml:space="preserve">B. inermis</w:t>
      </w:r>
      <w:r>
        <w:t xml:space="preserve"> </w:t>
      </w:r>
      <w:r>
        <w:t xml:space="preserve">sampling sites, we converted our units to the ratio of parasitoids to stem per unit area. Densities of stems are different when considering</w:t>
      </w:r>
      <w:r>
        <w:t xml:space="preserve"> </w:t>
      </w:r>
      <w:r>
        <w:rPr>
          <w:iCs/>
          <w:i/>
        </w:rPr>
        <w:t xml:space="preserve">B. inermis</w:t>
      </w:r>
      <w:r>
        <w:t xml:space="preserve"> </w:t>
      </w:r>
      <w:r>
        <w:t xml:space="preserve">and cultivated wheat or barley. Using this conversion, we attempted to better understand how the density of parasitoids (and WSS) is changed by looking at each kind of plant.</w:t>
      </w:r>
    </w:p>
    <w:bookmarkEnd w:id="24"/>
    <w:bookmarkEnd w:id="25"/>
    <w:bookmarkStart w:id="29" w:name="results"/>
    <w:p>
      <w:pPr>
        <w:pStyle w:val="Heading2"/>
      </w:pPr>
      <w:r>
        <w:t xml:space="preserve">Results</w:t>
      </w:r>
    </w:p>
    <w:bookmarkStart w:id="26" w:name="historical-weather-analysis-ndvi"/>
    <w:p>
      <w:pPr>
        <w:pStyle w:val="Heading3"/>
      </w:pPr>
      <w:r>
        <w:t xml:space="preserve">Historical Weather Analysis &amp; NDVI</w:t>
      </w:r>
    </w:p>
    <w:p>
      <w:pPr>
        <w:pStyle w:val="FirstParagraph"/>
      </w:pPr>
      <w:r>
        <w:t xml:space="preserve">We observed a significant linear relationship (</w:t>
      </w:r>
      <w:r>
        <w:rPr>
          <w:iCs/>
          <w:i/>
        </w:rPr>
        <w:t xml:space="preserve">r = 0.1, P = 0.033, estimate = -0.058</w:t>
      </w:r>
      <w:r>
        <w:t xml:space="preserve">) between average precipitation and year for both Big Sandy and Moccasin, Montana. This means that for each one year increase, we are seeing a decrease in 0.05 inches of precipitation. (</w:t>
      </w:r>
      <w:hyperlink w:anchor="figure1">
        <w:r>
          <w:rPr>
            <w:rStyle w:val="Hyperlink"/>
          </w:rPr>
          <w:t xml:space="preserve">Fig. 1</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This means that each year, the average daily temperature has increased by 0.03°C. (</w:t>
      </w:r>
      <w:hyperlink w:anchor="figure2">
        <w:r>
          <w:rPr>
            <w:rStyle w:val="Hyperlink"/>
          </w:rPr>
          <w:t xml:space="preserve">Fig. 2</w:t>
        </w:r>
      </w:hyperlink>
      <w:r>
        <w:t xml:space="preserve">).</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 July NDVI (</w:t>
      </w:r>
      <w:r>
        <w:rPr>
          <w:iCs/>
          <w:i/>
        </w:rPr>
        <w:t xml:space="preserve">0.846, P &lt; 0.05</w:t>
      </w:r>
      <w:r>
        <w:t xml:space="preserve">). The</w:t>
      </w:r>
      <w:r>
        <w:t xml:space="preserve"> </w:t>
      </w:r>
      <w:r>
        <w:rPr>
          <w:iCs/>
          <w:i/>
        </w:rPr>
        <w:t xml:space="preserve">B. inermis</w:t>
      </w:r>
      <w:r>
        <w:t xml:space="preserve"> </w:t>
      </w:r>
      <w:r>
        <w:t xml:space="preserve">NDVI remained relatively linear in it’s downslope (BROME SLOPE POST JULY) compared to the wheat field (WHEAT FIELD POST JULY). (</w:t>
      </w:r>
      <w:hyperlink w:anchor="figure3">
        <w:r>
          <w:rPr>
            <w:rStyle w:val="Hyperlink"/>
          </w:rPr>
          <w:t xml:space="preserve">Fig. 3</w:t>
        </w:r>
      </w:hyperlink>
      <w:r>
        <w:t xml:space="preserve">)</w:t>
      </w:r>
    </w:p>
    <w:p>
      <w:pPr>
        <w:pStyle w:val="BodyText"/>
      </w:pPr>
      <w:r>
        <w:t xml:space="preserve">Need to add map showing where NDVI measurments came from</w:t>
      </w:r>
    </w:p>
    <w:bookmarkEnd w:id="26"/>
    <w:bookmarkStart w:id="27"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showed high infestation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4">
        <w:r>
          <w:rPr>
            <w:rStyle w:val="Hyperlink"/>
          </w:rPr>
          <w:t xml:space="preserve">Fig. 3</w:t>
        </w:r>
      </w:hyperlink>
      <w:r>
        <w:t xml:space="preserve">).</w:t>
      </w:r>
    </w:p>
    <w:p>
      <w:pPr>
        <w:pStyle w:val="BodyText"/>
      </w:pPr>
      <w:r>
        <w:t xml:space="preserve">Cutting was observed at 5.7% for the high treatments and 3.9% for the low, showing strong evidence for a difference in cutting between high and low treatment groups (</w:t>
      </w:r>
      <w:r>
        <w:rPr>
          <w:iCs/>
          <w:i/>
        </w:rPr>
        <w:t xml:space="preserve">r = 0.592, P &lt; 0.05</w:t>
      </w:r>
      <w:r>
        <w:t xml:space="preserve">).</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In 2023, 61.7% of stems had at least 4 nodes infested</w:t>
      </w:r>
      <w:r>
        <w:t xml:space="preserve"> </w:t>
      </w:r>
      <w:hyperlink w:anchor="figure5">
        <w:r>
          <w:rPr>
            <w:rStyle w:val="Hyperlink"/>
          </w:rPr>
          <w:t xml:space="preserve">Fig. 5</w:t>
        </w:r>
      </w:hyperlink>
    </w:p>
    <w:bookmarkEnd w:id="27"/>
    <w:bookmarkStart w:id="28" w:name="montana-field-sites"/>
    <w:p>
      <w:pPr>
        <w:pStyle w:val="Heading3"/>
      </w:pPr>
      <w:r>
        <w:t xml:space="preserve">Montana Field Sites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Infestation by</w:t>
      </w:r>
      <w:r>
        <w:t xml:space="preserve"> </w:t>
      </w:r>
      <w:r>
        <w:rPr>
          <w:iCs/>
          <w:i/>
        </w:rPr>
        <w:t xml:space="preserve">C. cinctus</w:t>
      </w:r>
      <w:r>
        <w:t xml:space="preserve"> </w:t>
      </w:r>
      <w:r>
        <w:t xml:space="preserve">within</w:t>
      </w:r>
      <w:r>
        <w:t xml:space="preserve"> </w:t>
      </w:r>
      <w:r>
        <w:rPr>
          <w:iCs/>
          <w:i/>
        </w:rPr>
        <w:t xml:space="preserve">B. inermis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(se = 0.0164) in</w:t>
      </w:r>
      <w:r>
        <w:t xml:space="preserve"> </w:t>
      </w:r>
      <w:r>
        <w:rPr>
          <w:iCs/>
          <w:i/>
        </w:rPr>
        <w:t xml:space="preserve">B. inermis</w:t>
      </w:r>
      <w:r>
        <w:t xml:space="preserve"> </w:t>
      </w:r>
      <w:r>
        <w:t xml:space="preserve">and 47.1% (se = 0.0386) in the adjacent cultivated wheat (</w:t>
      </w:r>
      <w:hyperlink w:anchor="figure7">
        <w:r>
          <w:rPr>
            <w:rStyle w:val="Hyperlink"/>
          </w:rPr>
          <w:t xml:space="preserve">fig. 7</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of infestation. In Big Sandy, 76.2% of collected stems in the fall exhibited at least 4 nodes of infestation. In Moccasin, the corresponding figure was 66.5%.</w:t>
      </w:r>
    </w:p>
    <w:p>
      <w:pPr>
        <w:pStyle w:val="SourceCode"/>
      </w:pPr>
      <w:r>
        <w:rPr>
          <w:rStyle w:val="VerbatimChar"/>
        </w:rPr>
        <w:t xml:space="preserve"># A tibble: 4 × 5</w:t>
      </w:r>
      <w:r>
        <w:br/>
      </w:r>
      <w:r>
        <w:rPr>
          <w:rStyle w:val="VerbatimChar"/>
        </w:rPr>
        <w:t xml:space="preserve"># Groups:   collection, year, region [4]</w:t>
      </w:r>
      <w:r>
        <w:br/>
      </w:r>
      <w:r>
        <w:rPr>
          <w:rStyle w:val="VerbatimChar"/>
        </w:rPr>
        <w:t xml:space="preserve">  collection year  region    brome wheat</w:t>
      </w:r>
      <w:r>
        <w:br/>
      </w:r>
      <w:r>
        <w:rPr>
          <w:rStyle w:val="VerbatimChar"/>
        </w:rPr>
        <w:t xml:space="preserve">  &lt;chr&gt;      &lt;chr&gt; &lt;chr&gt;     &lt;dbl&gt; &lt;dbl&gt;</w:t>
      </w:r>
      <w:r>
        <w:br/>
      </w:r>
      <w:r>
        <w:rPr>
          <w:rStyle w:val="VerbatimChar"/>
        </w:rPr>
        <w:t xml:space="preserve">1 fall       2022  big sandy  5    0.310</w:t>
      </w:r>
      <w:r>
        <w:br/>
      </w:r>
      <w:r>
        <w:rPr>
          <w:rStyle w:val="VerbatimChar"/>
        </w:rPr>
        <w:t xml:space="preserve">2 fall       2022  moccasin   1.36 0.105</w:t>
      </w:r>
      <w:r>
        <w:br/>
      </w:r>
      <w:r>
        <w:rPr>
          <w:rStyle w:val="VerbatimChar"/>
        </w:rPr>
        <w:t xml:space="preserve">3 fall       2023  big sandy  2.33 0.591</w:t>
      </w:r>
      <w:r>
        <w:br/>
      </w:r>
      <w:r>
        <w:rPr>
          <w:rStyle w:val="VerbatimChar"/>
        </w:rPr>
        <w:t xml:space="preserve">4 fall       2023  moccasin   1.27 0.115</w:t>
      </w:r>
    </w:p>
    <w:p>
      <w:pPr>
        <w:pStyle w:val="SourceCode"/>
      </w:pPr>
      <w:r>
        <w:rPr>
          <w:rStyle w:val="VerbatimChar"/>
        </w:rPr>
        <w:t xml:space="preserve">[1] 155</w:t>
      </w:r>
    </w:p>
    <w:p>
      <w:pPr>
        <w:pStyle w:val="SourceCode"/>
      </w:pPr>
      <w:r>
        <w:rPr>
          <w:rStyle w:val="VerbatimChar"/>
        </w:rPr>
        <w:t xml:space="preserve">[1] 1</w:t>
      </w:r>
    </w:p>
    <w:p>
      <w:pPr>
        <w:pStyle w:val="SourceCode"/>
      </w:pPr>
      <w:r>
        <w:rPr>
          <w:rStyle w:val="VerbatimChar"/>
        </w:rPr>
        <w:t xml:space="preserve">[1] 16.12903</w:t>
      </w:r>
    </w:p>
    <w:p>
      <w:pPr>
        <w:pStyle w:val="FirstParagraph"/>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1 cut stem. This means that for every 1 square meter of</w:t>
      </w:r>
      <w:r>
        <w:t xml:space="preserve"> </w:t>
      </w:r>
      <w:r>
        <w:rPr>
          <w:iCs/>
          <w:i/>
        </w:rPr>
        <w:t xml:space="preserve">B. inermis</w:t>
      </w:r>
      <w:r>
        <w:t xml:space="preserve">, we would observe 16 stems that produced a parasitoid for every 1 stem that produced an adult</w:t>
      </w:r>
      <w:r>
        <w:t xml:space="preserve"> </w:t>
      </w:r>
      <w:r>
        <w:rPr>
          <w:iCs/>
          <w:i/>
        </w:rPr>
        <w:t xml:space="preserve">C. cinctus</w:t>
      </w:r>
      <w:r>
        <w:t xml:space="preserve">. All three other sample selections also showed positive ratios of parasitoids to cut stems</w:t>
      </w:r>
      <w:r>
        <w:t xml:space="preserve"> </w:t>
      </w:r>
      <w:hyperlink w:anchor="figure8">
        <w:r>
          <w:rPr>
            <w:rStyle w:val="Hyperlink"/>
          </w:rPr>
          <w:t xml:space="preserve">fig. 8</w:t>
        </w:r>
      </w:hyperlink>
      <w:r>
        <w:t xml:space="preserve">.</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28"/>
    <w:bookmarkEnd w:id="29"/>
    <w:bookmarkStart w:id="30" w:name="discussion"/>
    <w:p>
      <w:pPr>
        <w:pStyle w:val="Heading2"/>
      </w:pPr>
      <w:r>
        <w:t xml:space="preserve">Discussion</w:t>
      </w:r>
    </w:p>
    <w:p>
      <w:pPr>
        <w:pStyle w:val="FirstParagraph"/>
      </w:pPr>
      <w:r>
        <w:t xml:space="preserve">Assessing the comparative abundance of</w:t>
      </w:r>
      <w:r>
        <w:t xml:space="preserve"> </w:t>
      </w:r>
      <w:r>
        <w:rPr>
          <w:iCs/>
          <w:i/>
        </w:rPr>
        <w:t xml:space="preserve">C. cinctus</w:t>
      </w:r>
      <w:r>
        <w:t xml:space="preserve"> </w:t>
      </w:r>
      <w:r>
        <w:t xml:space="preserve">and its associated parasitiods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could potentially serve as origins for both pests and beneficial natural adversaries infiltrating agricultural crops.</w:t>
      </w:r>
    </w:p>
    <w:bookmarkEnd w:id="30"/>
    <w:bookmarkStart w:id="63" w:name="figures"/>
    <w:p>
      <w:pPr>
        <w:pStyle w:val="Heading2"/>
      </w:pPr>
      <w:r>
        <w:t xml:space="preserve">Figures</w:t>
      </w:r>
    </w:p>
    <w:bookmarkStart w:id="34" w:name="figure1"/>
    <w:p>
      <w:pPr>
        <w:pStyle w:val="Heading3"/>
      </w:pPr>
      <w:r>
        <w:t xml:space="preserve">Figure 1</w:t>
      </w:r>
    </w:p>
    <w:p>
      <w:pPr>
        <w:pStyle w:val="CaptionedFigure"/>
      </w:pPr>
      <w:r>
        <w:drawing>
          <wp:inline>
            <wp:extent cx="5334000" cy="2133600"/>
            <wp:effectExtent b="0" l="0" r="0" t="0"/>
            <wp:docPr descr="Figure 1: Average yearly precipitation (in) for Big Sandy and Moccasin, Montana. Black trend line signifies averaged negative trend between both locations. Data gathered from NOAA and MSU-ARS. A significant linear relationship (r = 0.1, P = 0.033, estimate = -0.058) was observed between year and average yearly precipitation." title="" id="32" name="Picture"/>
            <a:graphic>
              <a:graphicData uri="http://schemas.openxmlformats.org/drawingml/2006/picture">
                <pic:pic>
                  <pic:nvPicPr>
                    <pic:cNvPr descr="Paper%201%20%7C%202024-05-17_files/figure-docx/FIG1_both_prcp_plot-1.png" id="33"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Average yearly precipitation (in) for Big Sandy and Moccasin, Montana. Black trend line signifies averaged negative trend between both locations. Data gathered from NOAA and MSU-ARS. A significant linear relationship (r = 0.1, P = 0.033, estimate = -0.058) was observed between year and average yearly precipitation.</w:t>
      </w:r>
    </w:p>
    <w:bookmarkEnd w:id="34"/>
    <w:bookmarkStart w:id="38" w:name="figure2"/>
    <w:p>
      <w:pPr>
        <w:pStyle w:val="Heading3"/>
      </w:pPr>
      <w:r>
        <w:t xml:space="preserve">Figure 2</w:t>
      </w:r>
    </w:p>
    <w:p>
      <w:pPr>
        <w:pStyle w:val="CaptionedFigure"/>
      </w:pPr>
      <w:r>
        <w:drawing>
          <wp:inline>
            <wp:extent cx="5334000" cy="2133600"/>
            <wp:effectExtent b="0" l="0" r="0" t="0"/>
            <wp:docPr descr="Figure 2: Average yearly temperature (°C) in Moccasin and Big Sandy, MT. Positive trendline slop suggests increasing average temperatures of the past 100 years. A significant linear relationship (r =0.2447, P &lt; 0.05, estimate = 0.028) was observed between year and average yearly temperature." title="" id="36" name="Picture"/>
            <a:graphic>
              <a:graphicData uri="http://schemas.openxmlformats.org/drawingml/2006/picture">
                <pic:pic>
                  <pic:nvPicPr>
                    <pic:cNvPr descr="Paper%201%20%7C%202024-05-17_files/figure-docx/both_temp_plot-1.pn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2: Average yearly temperature (°C) in Moccasin and Big Sandy, MT. Positive trendline slop suggests increasing average temperatures of the past 100 years. A significant linear relationship (</w:t>
      </w:r>
      <w:r>
        <w:rPr>
          <w:iCs/>
          <w:i/>
        </w:rPr>
        <w:t xml:space="preserve">r =0.2447, P &lt; 0.05, estimate = 0.028</w:t>
      </w:r>
      <w:r>
        <w:t xml:space="preserve">) was observed between year and average yearly temperature.</w:t>
      </w:r>
    </w:p>
    <w:bookmarkEnd w:id="38"/>
    <w:bookmarkStart w:id="42" w:name="figure3"/>
    <w:p>
      <w:pPr>
        <w:pStyle w:val="Heading3"/>
      </w:pPr>
      <w:r>
        <w:t xml:space="preserve">Figure 3</w:t>
      </w:r>
    </w:p>
    <w:p>
      <w:pPr>
        <w:pStyle w:val="CaptionedFigure"/>
      </w:pPr>
      <w:r>
        <w:drawing>
          <wp:inline>
            <wp:extent cx="5334000" cy="4267200"/>
            <wp:effectExtent b="0" l="0" r="0" t="0"/>
            <wp:docPr descr="Figure 3: Normalized difference vegetation index (NDVI) of B. inermis and adjacent spring wheat field from April 2023 to October 2023. Post harvest linear model indicates a significant difference (P values and stuff) when comparing the B. inermis post-harvest slope and the spring wheat post-harvest slope." title="" id="40" name="Picture"/>
            <a:graphic>
              <a:graphicData uri="http://schemas.openxmlformats.org/drawingml/2006/picture">
                <pic:pic>
                  <pic:nvPicPr>
                    <pic:cNvPr descr="Paper%201%20%7C%202024-05-17_files/figure-docx/bs_ndvi_plot-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Normalized difference vegetation index (NDVI) of</w:t>
      </w:r>
      <w:r>
        <w:t xml:space="preserve"> </w:t>
      </w:r>
      <w:r>
        <w:rPr>
          <w:iCs/>
          <w:i/>
        </w:rPr>
        <w:t xml:space="preserve">B. inermis</w:t>
      </w:r>
      <w:r>
        <w:t xml:space="preserve"> </w:t>
      </w:r>
      <w:r>
        <w:t xml:space="preserve">and adjacent spring wheat field from April 2023 to October 2023. Post harvest linear model indicates a significant difference (P values and stuff) when comparing the</w:t>
      </w:r>
      <w:r>
        <w:t xml:space="preserve"> </w:t>
      </w:r>
      <w:r>
        <w:rPr>
          <w:iCs/>
          <w:i/>
        </w:rPr>
        <w:t xml:space="preserve">B. inermis</w:t>
      </w:r>
      <w:r>
        <w:t xml:space="preserve"> </w:t>
      </w:r>
      <w:r>
        <w:t xml:space="preserve">post-harvest slope and the spring wheat post-harvest slope.</w:t>
      </w:r>
    </w:p>
    <w:bookmarkEnd w:id="42"/>
    <w:bookmarkStart w:id="46" w:name="figure4"/>
    <w:p>
      <w:pPr>
        <w:pStyle w:val="Heading3"/>
      </w:pPr>
      <w:r>
        <w:t xml:space="preserve">Figure 4</w:t>
      </w:r>
    </w:p>
    <w:p>
      <w:pPr>
        <w:pStyle w:val="CaptionedFigure"/>
      </w:pPr>
      <w:r>
        <w:drawing>
          <wp:inline>
            <wp:extent cx="5334000" cy="4267200"/>
            <wp:effectExtent b="0" l="0" r="0" t="0"/>
            <wp:docPr descr="Figure 4: Comparison of year and treatment group for controlled infestation of B. inermis. We observed a significant difference in cutting between high and low treatment groups (r = 0.592, P &lt; 0.05)." title="" id="44" name="Picture"/>
            <a:graphic>
              <a:graphicData uri="http://schemas.openxmlformats.org/drawingml/2006/picture">
                <pic:pic>
                  <pic:nvPicPr>
                    <pic:cNvPr descr="Paper%201%20%7C%202024-05-17_files/figure-docx/inf_cut_plo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Comparison of year and treatment group for controlled infestation of</w:t>
      </w:r>
      <w:r>
        <w:t xml:space="preserve"> </w:t>
      </w:r>
      <w:r>
        <w:rPr>
          <w:iCs/>
          <w:i/>
        </w:rPr>
        <w:t xml:space="preserve">B. inermis</w:t>
      </w:r>
      <w:r>
        <w:t xml:space="preserve">. We observed a significant difference in cutting between high and low treatment groups (</w:t>
      </w:r>
      <w:r>
        <w:rPr>
          <w:iCs/>
          <w:i/>
        </w:rPr>
        <w:t xml:space="preserve">r = 0.592, P &lt; 0.05</w:t>
      </w:r>
      <w:r>
        <w:t xml:space="preserve">).</w:t>
      </w:r>
    </w:p>
    <w:bookmarkEnd w:id="46"/>
    <w:bookmarkStart w:id="50" w:name="figure5"/>
    <w:p>
      <w:pPr>
        <w:pStyle w:val="Heading3"/>
      </w:pPr>
      <w:r>
        <w:t xml:space="preserve">Figure 5</w:t>
      </w:r>
    </w:p>
    <w:p>
      <w:pPr>
        <w:pStyle w:val="CaptionedFigure"/>
      </w:pPr>
      <w:r>
        <w:drawing>
          <wp:inline>
            <wp:extent cx="5334000" cy="4267200"/>
            <wp:effectExtent b="0" l="0" r="0" t="0"/>
            <wp:docPr descr="Figure 6: Ineternodes infested by B. cephi within controlled infestation plots in Bozeman, MT, USA. We found that 61.2% of stems exhibited infestation in at least 5 nodes" title="" id="48" name="Picture"/>
            <a:graphic>
              <a:graphicData uri="http://schemas.openxmlformats.org/drawingml/2006/picture">
                <pic:pic>
                  <pic:nvPicPr>
                    <pic:cNvPr descr="Paper%201%20%7C%202024-05-17_files/figure-docx/figure5_pf_nodes_plot-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Ineternodes infested by</w:t>
      </w:r>
      <w:r>
        <w:t xml:space="preserve"> </w:t>
      </w:r>
      <w:r>
        <w:rPr>
          <w:iCs/>
          <w:i/>
        </w:rPr>
        <w:t xml:space="preserve">B. cephi</w:t>
      </w:r>
      <w:r>
        <w:t xml:space="preserve"> </w:t>
      </w:r>
      <w:r>
        <w:t xml:space="preserve">within controlled infestation plots in Bozeman, MT, USA. We found that 61.2% of stems exhibited infestation in at least 5 nodes</w:t>
      </w:r>
    </w:p>
    <w:bookmarkEnd w:id="50"/>
    <w:bookmarkStart w:id="54" w:name="figure6"/>
    <w:p>
      <w:pPr>
        <w:pStyle w:val="Heading3"/>
      </w:pPr>
      <w:r>
        <w:t xml:space="preserve">Figure 6</w:t>
      </w:r>
    </w:p>
    <w:p>
      <w:pPr>
        <w:pStyle w:val="CaptionedFigure"/>
      </w:pPr>
      <w:r>
        <w:drawing>
          <wp:inline>
            <wp:extent cx="5334000" cy="4267200"/>
            <wp:effectExtent b="0" l="0" r="0" t="0"/>
            <wp:docPr descr="Figure 6: Internodes infested by B. cephi within collected B. inermis stems in Moccasin and Big Sandy, MT, USA." title="" id="52" name="Picture"/>
            <a:graphic>
              <a:graphicData uri="http://schemas.openxmlformats.org/drawingml/2006/picture">
                <pic:pic>
                  <pic:nvPicPr>
                    <pic:cNvPr descr="Paper%201%20%7C%202024-05-17_files/figure-docx/figure6_brome_nodes-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Internodes infested by</w:t>
      </w:r>
      <w:r>
        <w:t xml:space="preserve"> </w:t>
      </w:r>
      <w:r>
        <w:rPr>
          <w:iCs/>
          <w:i/>
        </w:rPr>
        <w:t xml:space="preserve">B. cephi</w:t>
      </w:r>
      <w:r>
        <w:t xml:space="preserve"> </w:t>
      </w:r>
      <w:r>
        <w:t xml:space="preserve">within collected</w:t>
      </w:r>
      <w:r>
        <w:t xml:space="preserve"> </w:t>
      </w:r>
      <w:r>
        <w:rPr>
          <w:iCs/>
          <w:i/>
        </w:rPr>
        <w:t xml:space="preserve">B. inermis</w:t>
      </w:r>
      <w:r>
        <w:t xml:space="preserve"> </w:t>
      </w:r>
      <w:r>
        <w:t xml:space="preserve">stems in Moccasin and Big Sandy, MT, USA.</w:t>
      </w:r>
    </w:p>
    <w:bookmarkEnd w:id="54"/>
    <w:bookmarkStart w:id="58" w:name="figure7"/>
    <w:p>
      <w:pPr>
        <w:pStyle w:val="Heading3"/>
      </w:pPr>
      <w:r>
        <w:t xml:space="preserve">Figure 7</w:t>
      </w:r>
    </w:p>
    <w:p>
      <w:pPr>
        <w:pStyle w:val="CaptionedFigure"/>
      </w:pPr>
      <w:r>
        <w:drawing>
          <wp:inline>
            <wp:extent cx="5334000" cy="4267200"/>
            <wp:effectExtent b="0" l="0" r="0" t="0"/>
            <wp:docPr descr="Figure 7: Stem cutting by C. cinctus. We compared WSS cutting in B. inermis and adjacent wheat fields in Big Sandy and Moccasin, MT, USA. The horizontal lines correspond to yearly mean cutting for each plant type across all sampling sites." title="" id="56" name="Picture"/>
            <a:graphic>
              <a:graphicData uri="http://schemas.openxmlformats.org/drawingml/2006/picture">
                <pic:pic>
                  <pic:nvPicPr>
                    <pic:cNvPr descr="Paper%201%20%7C%202024-05-17_files/figure-docx/figure7_field_cut_plo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Stem cutting by</w:t>
      </w:r>
      <w:r>
        <w:t xml:space="preserve"> </w:t>
      </w:r>
      <w:r>
        <w:rPr>
          <w:iCs/>
          <w:i/>
        </w:rPr>
        <w:t xml:space="preserve">C. cinctus</w:t>
      </w:r>
      <w:r>
        <w:t xml:space="preserve">. We compared WSS cutting in</w:t>
      </w:r>
      <w:r>
        <w:t xml:space="preserve"> </w:t>
      </w:r>
      <w:r>
        <w:rPr>
          <w:iCs/>
          <w:i/>
        </w:rPr>
        <w:t xml:space="preserve">B. inermis</w:t>
      </w:r>
      <w:r>
        <w:t xml:space="preserve"> </w:t>
      </w:r>
      <w:r>
        <w:t xml:space="preserve">and adjacent wheat fields in Big Sandy and Moccasin, MT, USA. The horizontal lines correspond to yearly mean cutting for each plant type across all sampling sites.</w:t>
      </w:r>
    </w:p>
    <w:bookmarkEnd w:id="58"/>
    <w:bookmarkStart w:id="62" w:name="figure8"/>
    <w:p>
      <w:pPr>
        <w:pStyle w:val="Heading3"/>
      </w:pPr>
      <w:r>
        <w:t xml:space="preserve">Figure 8</w:t>
      </w:r>
    </w:p>
    <w:p>
      <w:pPr>
        <w:pStyle w:val="CaptionedFigure"/>
      </w:pPr>
      <w:r>
        <w:drawing>
          <wp:inline>
            <wp:extent cx="5334000" cy="4267200"/>
            <wp:effectExtent b="0" l="0" r="0" t="0"/>
            <wp:docPr descr="Ratios of parasitized to cut stems in B. inermis and adjacent cultivated wheat. Dotted line represents where a 1:1 cut:parasitized ratio lies." title="" id="60" name="Picture"/>
            <a:graphic>
              <a:graphicData uri="http://schemas.openxmlformats.org/drawingml/2006/picture">
                <pic:pic>
                  <pic:nvPicPr>
                    <pic:cNvPr descr="Paper%201%20%7C%202024-05-17_files/figure-docx/figure8-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Ratios of parasitized to cut stems in</w:t>
      </w:r>
      <w:r>
        <w:t xml:space="preserve"> </w:t>
      </w:r>
      <w:r>
        <w:rPr>
          <w:iCs/>
          <w:i/>
        </w:rPr>
        <w:t xml:space="preserve">B. inermis</w:t>
      </w:r>
      <w:r>
        <w:t xml:space="preserve"> </w:t>
      </w:r>
      <w:r>
        <w:t xml:space="preserve">and adjacent cultivated wheat. Dotted line represents where a 1:1 cut:parasitized ratio lies.</w:t>
      </w:r>
    </w:p>
    <w:bookmarkEnd w:id="62"/>
    <w:bookmarkEnd w:id="63"/>
    <w:bookmarkStart w:id="108" w:name="citations"/>
    <w:p>
      <w:pPr>
        <w:pStyle w:val="Heading2"/>
      </w:pPr>
      <w:r>
        <w:t xml:space="preserve">Citations</w:t>
      </w:r>
    </w:p>
    <w:bookmarkStart w:id="107" w:name="refs"/>
    <w:bookmarkStart w:id="64"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64"/>
    <w:bookmarkStart w:id="66"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65">
        <w:r>
          <w:rPr>
            <w:rStyle w:val="Hyperlink"/>
          </w:rPr>
          <w:t xml:space="preserve">https://doi.org/10.4039/n10-056</w:t>
        </w:r>
      </w:hyperlink>
      <w:r>
        <w:t xml:space="preserve">.</w:t>
      </w:r>
    </w:p>
    <w:bookmarkEnd w:id="66"/>
    <w:bookmarkStart w:id="68" w:name="ref-Bhandari2020"/>
    <w:p>
      <w:pPr>
        <w:pStyle w:val="Bibliography"/>
      </w:pPr>
      <w:r>
        <w:t xml:space="preserve">Bhandari, Rekha. 2020.</w:t>
      </w:r>
      <w:r>
        <w:t xml:space="preserve"> </w:t>
      </w:r>
      <w:r>
        <w:t xml:space="preserve">“</w:t>
      </w:r>
      <w:hyperlink r:id="rId67">
        <w:r>
          <w:rPr>
            <w:rStyle w:val="Hyperlink"/>
          </w:rPr>
          <w:t xml:space="preserve">Assessment of Host Selection Behaviors and Oviposition Preferences of Cephus Cinctus Norton (Hymenoptera: Cephidae) Using Wheat and Smooth Brome</w:t>
        </w:r>
      </w:hyperlink>
      <w:r>
        <w:t xml:space="preserve">.”</w:t>
      </w:r>
    </w:p>
    <w:bookmarkEnd w:id="68"/>
    <w:bookmarkStart w:id="70"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69">
        <w:r>
          <w:rPr>
            <w:rStyle w:val="Hyperlink"/>
          </w:rPr>
          <w:t xml:space="preserve">https://doi.org/10.1093/ee/nvv128</w:t>
        </w:r>
      </w:hyperlink>
      <w:r>
        <w:t xml:space="preserve">.</w:t>
      </w:r>
    </w:p>
    <w:bookmarkEnd w:id="70"/>
    <w:bookmarkStart w:id="72" w:name="ref-Buteler2008"/>
    <w:p>
      <w:pPr>
        <w:pStyle w:val="Bibliography"/>
      </w:pPr>
      <w:r>
        <w:t xml:space="preserve">Buteler, Micaela, David K. Weaver, and Perry R. Miller. 2008.</w:t>
      </w:r>
      <w:r>
        <w:t xml:space="preserve"> </w:t>
      </w:r>
      <w:r>
        <w:t xml:space="preserve">“Wheat Stem Sawfly-Infested Plants Benefit from Parasitism of the Herbivorous Larvae.”</w:t>
      </w:r>
      <w:r>
        <w:t xml:space="preserve"> </w:t>
      </w:r>
      <w:r>
        <w:rPr>
          <w:iCs/>
          <w:i/>
        </w:rPr>
        <w:t xml:space="preserve">Agricultural and Forest Entomology</w:t>
      </w:r>
      <w:r>
        <w:t xml:space="preserve"> </w:t>
      </w:r>
      <w:r>
        <w:t xml:space="preserve">10 (November): 347–54.</w:t>
      </w:r>
      <w:r>
        <w:t xml:space="preserve"> </w:t>
      </w:r>
      <w:hyperlink r:id="rId71">
        <w:r>
          <w:rPr>
            <w:rStyle w:val="Hyperlink"/>
          </w:rPr>
          <w:t xml:space="preserve">https://doi.org/10.1111/j.1461-9563.2008.00396.x</w:t>
        </w:r>
      </w:hyperlink>
      <w:r>
        <w:t xml:space="preserve">.</w:t>
      </w:r>
    </w:p>
    <w:bookmarkEnd w:id="72"/>
    <w:bookmarkStart w:id="7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73">
        <w:r>
          <w:rPr>
            <w:rStyle w:val="Hyperlink"/>
          </w:rPr>
          <w:t xml:space="preserve">https://www.cabdirect.org/cabdirect/abstract/19850777665</w:t>
        </w:r>
      </w:hyperlink>
      <w:r>
        <w:t xml:space="preserve">.</w:t>
      </w:r>
    </w:p>
    <w:bookmarkEnd w:id="74"/>
    <w:bookmarkStart w:id="76" w:name="ref-Cockrell2017"/>
    <w:p>
      <w:pPr>
        <w:pStyle w:val="Bibliography"/>
      </w:pPr>
      <w:r>
        <w:t xml:space="preserve">Cockrell, Darren M., Robert J. Griffin-Nolan, Tatyana A. Rand, Nuha Altilmisani, Paul J. Ode, and Frank Peairs. 2017.</w:t>
      </w:r>
      <w:r>
        <w:t xml:space="preserve"> </w:t>
      </w:r>
      <w:r>
        <w:t xml:space="preserve">“Host Plants of the Wheat Stem Sawfly (Hymenoptera: Cephidae).”</w:t>
      </w:r>
      <w:r>
        <w:t xml:space="preserve"> </w:t>
      </w:r>
      <w:r>
        <w:rPr>
          <w:iCs/>
          <w:i/>
        </w:rPr>
        <w:t xml:space="preserve">Environmental Entomology</w:t>
      </w:r>
      <w:r>
        <w:t xml:space="preserve">. Entomological Society of America.</w:t>
      </w:r>
      <w:r>
        <w:t xml:space="preserve"> </w:t>
      </w:r>
      <w:hyperlink r:id="rId75">
        <w:r>
          <w:rPr>
            <w:rStyle w:val="Hyperlink"/>
          </w:rPr>
          <w:t xml:space="preserve">https://doi.org/10.1093/ee/nvx104</w:t>
        </w:r>
      </w:hyperlink>
      <w:r>
        <w:t xml:space="preserve">.</w:t>
      </w:r>
    </w:p>
    <w:bookmarkEnd w:id="76"/>
    <w:bookmarkStart w:id="77"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77"/>
    <w:bookmarkStart w:id="79"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78">
        <w:r>
          <w:rPr>
            <w:rStyle w:val="Hyperlink"/>
          </w:rPr>
          <w:t xml:space="preserve">https://doi.org/10.1007/S10530-008-9346-7</w:t>
        </w:r>
      </w:hyperlink>
      <w:r>
        <w:t xml:space="preserve">.</w:t>
      </w:r>
    </w:p>
    <w:bookmarkEnd w:id="79"/>
    <w:bookmarkStart w:id="80" w:name="ref-lme4"/>
    <w:p>
      <w:pPr>
        <w:pStyle w:val="Bibliography"/>
      </w:pPr>
      <w:r>
        <w:t xml:space="preserve">Douglas Bates, MM, Ben Bolker, and Steve Walker. 2015.</w:t>
      </w:r>
      <w:r>
        <w:t xml:space="preserve"> </w:t>
      </w:r>
      <w:r>
        <w:t xml:space="preserve">“Fitting Linear Mixed-Effects Models Using Lme4.”</w:t>
      </w:r>
      <w:r>
        <w:t xml:space="preserve"> </w:t>
      </w:r>
      <w:r>
        <w:rPr>
          <w:iCs/>
          <w:i/>
        </w:rPr>
        <w:t xml:space="preserve">Journal of Statistical Software</w:t>
      </w:r>
      <w:r>
        <w:t xml:space="preserve"> </w:t>
      </w:r>
      <w:r>
        <w:t xml:space="preserve">67 (1): 1–48.</w:t>
      </w:r>
    </w:p>
    <w:bookmarkEnd w:id="80"/>
    <w:bookmarkStart w:id="81"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81"/>
    <w:bookmarkStart w:id="83"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82">
        <w:r>
          <w:rPr>
            <w:rStyle w:val="Hyperlink"/>
          </w:rPr>
          <w:t xml:space="preserve">https://doi.org/10.4141/cjps60-004</w:t>
        </w:r>
      </w:hyperlink>
      <w:r>
        <w:t xml:space="preserve">.</w:t>
      </w:r>
    </w:p>
    <w:bookmarkEnd w:id="83"/>
    <w:bookmarkStart w:id="85"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84">
        <w:r>
          <w:rPr>
            <w:rStyle w:val="Hyperlink"/>
          </w:rPr>
          <w:t xml:space="preserve">https://doi.org/10.1371/journal.pone.0168370</w:t>
        </w:r>
      </w:hyperlink>
      <w:r>
        <w:t xml:space="preserve">.</w:t>
      </w:r>
    </w:p>
    <w:bookmarkEnd w:id="85"/>
    <w:bookmarkStart w:id="87"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86">
        <w:r>
          <w:rPr>
            <w:rStyle w:val="Hyperlink"/>
          </w:rPr>
          <w:t xml:space="preserve">https://doi.org/10.1006/bcon.1998.0629</w:t>
        </w:r>
      </w:hyperlink>
      <w:r>
        <w:t xml:space="preserve">.</w:t>
      </w:r>
    </w:p>
    <w:bookmarkEnd w:id="87"/>
    <w:bookmarkStart w:id="89"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88">
        <w:r>
          <w:rPr>
            <w:rStyle w:val="Hyperlink"/>
          </w:rPr>
          <w:t xml:space="preserve">https://doi.org/10.4039/Ent85103-3</w:t>
        </w:r>
      </w:hyperlink>
      <w:r>
        <w:t xml:space="preserve">.</w:t>
      </w:r>
    </w:p>
    <w:bookmarkEnd w:id="89"/>
    <w:bookmarkStart w:id="90" w:name="ref-Otfinowski2006"/>
    <w:p>
      <w:pPr>
        <w:pStyle w:val="Bibliography"/>
      </w:pPr>
      <w:r>
        <w:t xml:space="preserve">Otfinowski, R, N C Kenkel, and P M Catling. 2006.</w:t>
      </w:r>
      <w:r>
        <w:t xml:space="preserve"> </w:t>
      </w:r>
      <w:r>
        <w:t xml:space="preserve">“The Biology of Canadian Weeds. 134. Bromus Inermis Leyss.”</w:t>
      </w:r>
      <w:r>
        <w:t xml:space="preserve"> </w:t>
      </w:r>
      <w:r>
        <w:rPr>
          <w:iCs/>
          <w:i/>
        </w:rPr>
        <w:t xml:space="preserve">Canadian Journal of Plant Science</w:t>
      </w:r>
      <w:r>
        <w:t xml:space="preserve"> </w:t>
      </w:r>
      <w:r>
        <w:t xml:space="preserve">87: 183–98.</w:t>
      </w:r>
    </w:p>
    <w:bookmarkEnd w:id="90"/>
    <w:bookmarkStart w:id="92" w:name="ref-Pettorelli2005"/>
    <w:p>
      <w:pPr>
        <w:pStyle w:val="Bibliography"/>
      </w:pPr>
      <w:r>
        <w:t xml:space="preserve">Pettorelli, Nathalie, Jon Olav Vik, Atle Mysterud, Jean Michel Gaillard, Compton J. Tucker, and Nils Chr Stenseth. 2005.</w:t>
      </w:r>
      <w:r>
        <w:t xml:space="preserve"> </w:t>
      </w:r>
      <w:r>
        <w:t xml:space="preserve">“Using the Satellite-Derived NDVI to Assess Ecological Responses to Environmental Change.”</w:t>
      </w:r>
      <w:r>
        <w:t xml:space="preserve"> </w:t>
      </w:r>
      <w:r>
        <w:rPr>
          <w:iCs/>
          <w:i/>
        </w:rPr>
        <w:t xml:space="preserve">Trends in Ecology and Evolution</w:t>
      </w:r>
      <w:r>
        <w:t xml:space="preserve">.</w:t>
      </w:r>
      <w:r>
        <w:t xml:space="preserve"> </w:t>
      </w:r>
      <w:hyperlink r:id="rId91">
        <w:r>
          <w:rPr>
            <w:rStyle w:val="Hyperlink"/>
          </w:rPr>
          <w:t xml:space="preserve">https://doi.org/10.1016/j.tree.2005.05.011</w:t>
        </w:r>
      </w:hyperlink>
      <w:r>
        <w:t xml:space="preserve">.</w:t>
      </w:r>
    </w:p>
    <w:bookmarkEnd w:id="92"/>
    <w:bookmarkStart w:id="94" w:name="ref-Rand2020"/>
    <w:p>
      <w:pPr>
        <w:pStyle w:val="Bibliography"/>
      </w:pPr>
      <w:r>
        <w:t xml:space="preserve">Rand, Tatyana A., Courtney E. Richmond, and Edward T. Dougherty. 2020.</w:t>
      </w:r>
      <w:r>
        <w:t xml:space="preserve"> </w:t>
      </w:r>
      <w:r>
        <w:t xml:space="preserve">“Modeling the Combined Impacts of Host Plant Resistance and Biological Control on the Population Dynamics of a Major Pest of Wheat.”</w:t>
      </w:r>
      <w:r>
        <w:t xml:space="preserve"> </w:t>
      </w:r>
      <w:r>
        <w:rPr>
          <w:iCs/>
          <w:i/>
        </w:rPr>
        <w:t xml:space="preserve">Pest Management Science</w:t>
      </w:r>
      <w:r>
        <w:t xml:space="preserve"> </w:t>
      </w:r>
      <w:r>
        <w:t xml:space="preserve">76 (August): 2818–28.</w:t>
      </w:r>
      <w:r>
        <w:t xml:space="preserve"> </w:t>
      </w:r>
      <w:hyperlink r:id="rId93">
        <w:r>
          <w:rPr>
            <w:rStyle w:val="Hyperlink"/>
          </w:rPr>
          <w:t xml:space="preserve">https://doi.org/10.1002/ps.5830</w:t>
        </w:r>
      </w:hyperlink>
      <w:r>
        <w:t xml:space="preserve">.</w:t>
      </w:r>
    </w:p>
    <w:bookmarkEnd w:id="94"/>
    <w:bookmarkStart w:id="96"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95">
        <w:r>
          <w:rPr>
            <w:rStyle w:val="Hyperlink"/>
          </w:rPr>
          <w:t xml:space="preserve">https://doi.org/10.3368/er.29.4.374</w:t>
        </w:r>
      </w:hyperlink>
      <w:r>
        <w:t xml:space="preserve">.</w:t>
      </w:r>
    </w:p>
    <w:bookmarkEnd w:id="96"/>
    <w:bookmarkStart w:id="98"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97">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98"/>
    <w:bookmarkStart w:id="100"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99">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00"/>
    <w:bookmarkStart w:id="102"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101">
        <w:r>
          <w:rPr>
            <w:rStyle w:val="Hyperlink"/>
          </w:rPr>
          <w:t xml:space="preserve">https://doi.org/10.1016/j.biocontrol.2005.04.001</w:t>
        </w:r>
      </w:hyperlink>
      <w:r>
        <w:t xml:space="preserve">.</w:t>
      </w:r>
    </w:p>
    <w:bookmarkEnd w:id="102"/>
    <w:bookmarkStart w:id="104"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03">
        <w:r>
          <w:rPr>
            <w:rStyle w:val="Hyperlink"/>
          </w:rPr>
          <w:t xml:space="preserve">https://ggplot2.tidyverse.org</w:t>
        </w:r>
      </w:hyperlink>
      <w:r>
        <w:t xml:space="preserve">.</w:t>
      </w:r>
    </w:p>
    <w:bookmarkEnd w:id="104"/>
    <w:bookmarkStart w:id="106"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105">
        <w:r>
          <w:rPr>
            <w:rStyle w:val="Hyperlink"/>
          </w:rPr>
          <w:t xml:space="preserve">https://doi.org/10.3368/er.18.1.34</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hyperlink" Id="rId9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93" Target="https://doi.org/10.1002/ps.5830" TargetMode="External" /><Relationship Type="http://schemas.openxmlformats.org/officeDocument/2006/relationships/hyperlink" Id="rId86" Target="https://doi.org/10.1006/bcon.1998.0629" TargetMode="External" /><Relationship Type="http://schemas.openxmlformats.org/officeDocument/2006/relationships/hyperlink" Id="rId78" Target="https://doi.org/10.1007/S10530-008-9346-7" TargetMode="External" /><Relationship Type="http://schemas.openxmlformats.org/officeDocument/2006/relationships/hyperlink" Id="rId101" Target="https://doi.org/10.1016/j.biocontrol.2005.04.001" TargetMode="External" /><Relationship Type="http://schemas.openxmlformats.org/officeDocument/2006/relationships/hyperlink" Id="rId91" Target="https://doi.org/10.1016/j.tree.2005.05.011" TargetMode="External" /><Relationship Type="http://schemas.openxmlformats.org/officeDocument/2006/relationships/hyperlink" Id="rId69" Target="https://doi.org/10.1093/ee/nvv128" TargetMode="External" /><Relationship Type="http://schemas.openxmlformats.org/officeDocument/2006/relationships/hyperlink" Id="rId75" Target="https://doi.org/10.1093/ee/nvx104" TargetMode="External" /><Relationship Type="http://schemas.openxmlformats.org/officeDocument/2006/relationships/hyperlink" Id="rId71" Target="https://doi.org/10.1111/j.1461-9563.2008.00396.x" TargetMode="External" /><Relationship Type="http://schemas.openxmlformats.org/officeDocument/2006/relationships/hyperlink" Id="rId84" Target="https://doi.org/10.1371/journal.pone.0168370" TargetMode="External" /><Relationship Type="http://schemas.openxmlformats.org/officeDocument/2006/relationships/hyperlink" Id="rId105" Target="https://doi.org/10.3368/er.18.1.34" TargetMode="External" /><Relationship Type="http://schemas.openxmlformats.org/officeDocument/2006/relationships/hyperlink" Id="rId95" Target="https://doi.org/10.3368/er.29.4.374" TargetMode="External" /><Relationship Type="http://schemas.openxmlformats.org/officeDocument/2006/relationships/hyperlink" Id="rId88" Target="https://doi.org/10.4039/Ent85103-3" TargetMode="External" /><Relationship Type="http://schemas.openxmlformats.org/officeDocument/2006/relationships/hyperlink" Id="rId65" Target="https://doi.org/10.4039/n10-056" TargetMode="External" /><Relationship Type="http://schemas.openxmlformats.org/officeDocument/2006/relationships/hyperlink" Id="rId82" Target="https://doi.org/10.4141/cjps60-004" TargetMode="External" /><Relationship Type="http://schemas.openxmlformats.org/officeDocument/2006/relationships/hyperlink" Id="rId103" Target="https://ggplot2.tidyverse.org" TargetMode="External" /><Relationship Type="http://schemas.openxmlformats.org/officeDocument/2006/relationships/hyperlink" Id="rId73" Target="https://www.cabdirect.org/cabdirect/abstract/19850777665" TargetMode="External" /><Relationship Type="http://schemas.openxmlformats.org/officeDocument/2006/relationships/hyperlink" Id="rId97" Target="https://www.google.com/books/edition/Bracon_Lissogaster_Mues/37UXAAAAYAAJ?hl=en&amp;gbpv=1&amp;dq=Bracon+Lissogaster+Mues:+A+Parasite+of+the+Wheat+Stem+Sawfly.&amp;pg=PA29&amp;printsec=frontcover" TargetMode="External" /><Relationship Type="http://schemas.openxmlformats.org/officeDocument/2006/relationships/hyperlink" Id="rId67"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9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93" Target="https://doi.org/10.1002/ps.5830" TargetMode="External" /><Relationship Type="http://schemas.openxmlformats.org/officeDocument/2006/relationships/hyperlink" Id="rId86" Target="https://doi.org/10.1006/bcon.1998.0629" TargetMode="External" /><Relationship Type="http://schemas.openxmlformats.org/officeDocument/2006/relationships/hyperlink" Id="rId78" Target="https://doi.org/10.1007/S10530-008-9346-7" TargetMode="External" /><Relationship Type="http://schemas.openxmlformats.org/officeDocument/2006/relationships/hyperlink" Id="rId101" Target="https://doi.org/10.1016/j.biocontrol.2005.04.001" TargetMode="External" /><Relationship Type="http://schemas.openxmlformats.org/officeDocument/2006/relationships/hyperlink" Id="rId91" Target="https://doi.org/10.1016/j.tree.2005.05.011" TargetMode="External" /><Relationship Type="http://schemas.openxmlformats.org/officeDocument/2006/relationships/hyperlink" Id="rId69" Target="https://doi.org/10.1093/ee/nvv128" TargetMode="External" /><Relationship Type="http://schemas.openxmlformats.org/officeDocument/2006/relationships/hyperlink" Id="rId75" Target="https://doi.org/10.1093/ee/nvx104" TargetMode="External" /><Relationship Type="http://schemas.openxmlformats.org/officeDocument/2006/relationships/hyperlink" Id="rId71" Target="https://doi.org/10.1111/j.1461-9563.2008.00396.x" TargetMode="External" /><Relationship Type="http://schemas.openxmlformats.org/officeDocument/2006/relationships/hyperlink" Id="rId84" Target="https://doi.org/10.1371/journal.pone.0168370" TargetMode="External" /><Relationship Type="http://schemas.openxmlformats.org/officeDocument/2006/relationships/hyperlink" Id="rId105" Target="https://doi.org/10.3368/er.18.1.34" TargetMode="External" /><Relationship Type="http://schemas.openxmlformats.org/officeDocument/2006/relationships/hyperlink" Id="rId95" Target="https://doi.org/10.3368/er.29.4.374" TargetMode="External" /><Relationship Type="http://schemas.openxmlformats.org/officeDocument/2006/relationships/hyperlink" Id="rId88" Target="https://doi.org/10.4039/Ent85103-3" TargetMode="External" /><Relationship Type="http://schemas.openxmlformats.org/officeDocument/2006/relationships/hyperlink" Id="rId65" Target="https://doi.org/10.4039/n10-056" TargetMode="External" /><Relationship Type="http://schemas.openxmlformats.org/officeDocument/2006/relationships/hyperlink" Id="rId82" Target="https://doi.org/10.4141/cjps60-004" TargetMode="External" /><Relationship Type="http://schemas.openxmlformats.org/officeDocument/2006/relationships/hyperlink" Id="rId103" Target="https://ggplot2.tidyverse.org" TargetMode="External" /><Relationship Type="http://schemas.openxmlformats.org/officeDocument/2006/relationships/hyperlink" Id="rId73" Target="https://www.cabdirect.org/cabdirect/abstract/19850777665" TargetMode="External" /><Relationship Type="http://schemas.openxmlformats.org/officeDocument/2006/relationships/hyperlink" Id="rId97" Target="https://www.google.com/books/edition/Bracon_Lissogaster_Mues/37UXAAAAYAAJ?hl=en&amp;gbpv=1&amp;dq=Bracon+Lissogaster+Mues:+A+Parasite+of+the+Wheat+Stem+Sawfly.&amp;pg=PA29&amp;printsec=frontcover" TargetMode="External" /><Relationship Type="http://schemas.openxmlformats.org/officeDocument/2006/relationships/hyperlink" Id="rId67"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Importance of Smooth Brome in Managing Wheat Stem Sawfly (Hymenoptera: Cephidae) via Its Associated Braconid Parasitoids</dc:title>
  <dc:creator/>
  <cp:keywords/>
  <dcterms:created xsi:type="dcterms:W3CDTF">2024-05-17T16:38:17Z</dcterms:created>
  <dcterms:modified xsi:type="dcterms:W3CDTF">2024-05-17T16:38:17Z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Jackson R. Strand, David K. Weaver</vt:lpwstr>
  </property>
  <property fmtid="{D5CDD505-2E9C-101B-9397-08002B2CF9AE}" pid="3" name="biblio-style">
    <vt:lpwstr>apalike</vt:lpwstr>
  </property>
  <property fmtid="{D5CDD505-2E9C-101B-9397-08002B2CF9AE}" pid="4" name="bibliography">
    <vt:lpwstr>proposal.bib</vt:lpwstr>
  </property>
  <property fmtid="{D5CDD505-2E9C-101B-9397-08002B2CF9AE}" pid="5" name="cls">
    <vt:lpwstr/>
  </property>
  <property fmtid="{D5CDD505-2E9C-101B-9397-08002B2CF9AE}" pid="6" name="date">
    <vt:lpwstr>May 14, 2024</vt:lpwstr>
  </property>
  <property fmtid="{D5CDD505-2E9C-101B-9397-08002B2CF9AE}" pid="7" name="editor_options">
    <vt:lpwstr/>
  </property>
  <property fmtid="{D5CDD505-2E9C-101B-9397-08002B2CF9AE}" pid="8" name="link-citations">
    <vt:lpwstr>True</vt:lpwstr>
  </property>
  <property fmtid="{D5CDD505-2E9C-101B-9397-08002B2CF9AE}" pid="9" name="output">
    <vt:lpwstr/>
  </property>
</Properties>
</file>