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1F776F" w:rsidRDefault="00CD1B60" w:rsidP="00CD1B60">
      <w:pPr>
        <w:jc w:val="center"/>
      </w:pPr>
      <w:r>
        <w:rPr>
          <w:b/>
        </w:rPr>
        <w:t>empresas sas</w:t>
      </w:r>
    </w:p>
    <w:p w:rsidR="001F776F" w:rsidRDefault="001F776F">
      <w:pPr>
        <w:jc w:val="both"/>
        <w:rPr>
          <w:rFonts w:asciiTheme="minorHAnsi" w:hAnsiTheme="minorHAnsi" w:cs="Tahoma"/>
          <w:b/>
          <w:color w:val="000000" w:themeColor="text1"/>
          <w:lang w:val="es-CO"/>
        </w:rPr>
      </w:pPr>
    </w:p>
    <w:p w:rsidR="001F776F" w:rsidRDefault="00CD1B60">
      <w:pPr>
        <w:jc w:val="both"/>
      </w:pPr>
      <w:r>
        <w:rPr>
          <w:rFonts w:cs="Tahoma"/>
          <w:color w:val="000000" w:themeColor="text1"/>
        </w:rPr>
        <w:t xml:space="preserve">En Barranquilla, Colombia a los </w:t>
      </w:r>
      <w:r>
        <w:rPr>
          <w:bCs/>
        </w:rPr>
        <w:t>21</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febrero </w:t>
      </w:r>
      <w:r>
        <w:rPr>
          <w:rFonts w:cs="Tahoma"/>
          <w:color w:val="000000" w:themeColor="text1"/>
        </w:rPr>
        <w:t xml:space="preserve">del año </w:t>
      </w:r>
      <w:r>
        <w:rPr>
          <w:bCs/>
        </w:rPr>
        <w:t>2018</w:t>
      </w:r>
      <w:bookmarkStart w:id="0" w:name="OLE_LINK3"/>
      <w:r>
        <w:rPr>
          <w:rFonts w:cs="Tahoma"/>
          <w:color w:val="000000" w:themeColor="text1"/>
        </w:rPr>
        <w:t xml:space="preserve">, comparecieron: </w:t>
      </w:r>
      <w:bookmarkEnd w:id="0"/>
      <w:r>
        <w:rPr>
          <w:bCs/>
        </w:rPr>
        <w:t>ac1, mayor de edad, domiciliado (a) en la ciudad de Bogotá, Colombia,  identificado con cédula de ciudadanía No cedulaac1, ac2, mayor de edad, domiciliado (a) en la ciudad de Bogotá, Colombia,  identificado con cédula de ciudadanía No cedulaac2, ac3, mayor de edad, domiciliado (a) en la ciudad de Bogotá, Colombia,  identificado con cédula de ciudadanía No cedulaac3 </w:t>
      </w:r>
      <w:r>
        <w:rPr>
          <w:rFonts w:cs="Tahoma"/>
          <w:color w:val="000000" w:themeColor="text1"/>
        </w:rPr>
        <w:t xml:space="preserve">hemos decidido constituir como en efecto constituimos, una sociedad por acciones simplificada denominada </w:t>
      </w:r>
      <w:r>
        <w:rPr>
          <w:b/>
        </w:rPr>
        <w:t>empresas sas</w:t>
      </w:r>
    </w:p>
    <w:p w:rsidR="001F776F" w:rsidRDefault="00CD1B60">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1F776F" w:rsidRDefault="001F776F">
      <w:pPr>
        <w:rPr>
          <w:rFonts w:asciiTheme="minorHAnsi" w:hAnsiTheme="minorHAnsi" w:cs="Tahoma"/>
          <w:color w:val="000000" w:themeColor="text1"/>
        </w:rPr>
      </w:pP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ESTATUTOS SOCIALES DE</w:t>
      </w:r>
    </w:p>
    <w:p w:rsidR="00CD1B60" w:rsidRDefault="00CD1B60" w:rsidP="00CD1B60">
      <w:pPr>
        <w:jc w:val="center"/>
      </w:pPr>
      <w:r>
        <w:rPr>
          <w:b/>
        </w:rPr>
        <w:t>empresas sas</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1F776F" w:rsidRDefault="001F776F">
      <w:pPr>
        <w:jc w:val="center"/>
        <w:rPr>
          <w:rFonts w:asciiTheme="minorHAnsi" w:hAnsiTheme="minorHAnsi" w:cs="Tahoma"/>
          <w:color w:val="000000" w:themeColor="text1"/>
          <w:lang w:val="es-CO"/>
        </w:rPr>
      </w:pPr>
    </w:p>
    <w:p w:rsidR="00CD1B60" w:rsidRDefault="00CD1B60" w:rsidP="00CD1B60">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 xml:space="preserve">empresas sas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CD1B60" w:rsidRDefault="00CD1B60" w:rsidP="00CD1B60">
      <w:pPr>
        <w:pStyle w:val="Title"/>
        <w:spacing w:after="0"/>
        <w:jc w:val="both"/>
        <w:rPr>
          <w:rFonts w:asciiTheme="minorHAnsi" w:hAnsiTheme="minorHAnsi" w:cs="Tahoma"/>
          <w:color w:val="000000" w:themeColor="text1"/>
          <w:lang w:val="es-CO"/>
        </w:rPr>
      </w:pPr>
    </w:p>
    <w:p w:rsidR="00CD1B60" w:rsidRDefault="00CD1B60" w:rsidP="00CD1B60">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1F776F" w:rsidRPr="001A2A7B" w:rsidRDefault="00CD1B60" w:rsidP="00CD1B60">
      <w:pPr>
        <w:jc w:val="both"/>
        <w:rPr>
          <w:bCs/>
        </w:rPr>
      </w:pPr>
      <w:r>
        <w:rPr>
          <w:rFonts w:cs="Tahoma"/>
          <w:b/>
          <w:bCs/>
          <w:color w:val="000000" w:themeColor="text1"/>
        </w:rPr>
        <w:t>Artículo 2º. Objeto social.</w:t>
      </w:r>
      <w:r>
        <w:rPr>
          <w:rFonts w:cs="Tahoma"/>
          <w:color w:val="000000" w:themeColor="text1"/>
        </w:rPr>
        <w:t xml:space="preserve">  </w:t>
      </w:r>
      <w:r w:rsidRPr="001A2A7B">
        <w:rPr>
          <w:bCs/>
        </w:rPr>
        <w:t>lo que sea</w:t>
      </w:r>
    </w:p>
    <w:p w:rsidR="001F776F" w:rsidRDefault="00CD1B60">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proofErr w:type="gramStart"/>
      <w:r>
        <w:rPr>
          <w:rFonts w:ascii="Calibri" w:hAnsi="Calibri"/>
          <w:color w:val="000000"/>
          <w:lang w:val="es-ES"/>
        </w:rPr>
        <w:lastRenderedPageBreak/>
        <w:t>general</w:t>
      </w:r>
      <w:proofErr w:type="gramEnd"/>
      <w:r>
        <w:rPr>
          <w:rFonts w:ascii="Calibri" w:hAnsi="Calibri"/>
          <w:color w:val="000000"/>
          <w:lang w:val="es-ES"/>
        </w:rPr>
        <w:t>,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1F776F" w:rsidRDefault="001F776F">
      <w:pPr>
        <w:pStyle w:val="BodyText"/>
        <w:spacing w:after="0"/>
        <w:rPr>
          <w:rFonts w:ascii="Calibri" w:hAnsi="Calibri"/>
          <w:color w:val="000000"/>
          <w:lang w:val="es-ES"/>
        </w:rPr>
      </w:pPr>
    </w:p>
    <w:p w:rsidR="001F776F" w:rsidRDefault="00CD1B60" w:rsidP="00CD1B60">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${Company_city}. La sociedad podrá crear sucursales, agencias o dependencias en otros lugares del país o del extranjero, por disposición de la asamblea general de accionistas.</w:t>
      </w:r>
    </w:p>
    <w:p w:rsidR="001F776F" w:rsidRDefault="00CD1B60">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1F776F" w:rsidRDefault="001F776F">
      <w:pPr>
        <w:pStyle w:val="Heading1"/>
        <w:rPr>
          <w:rFonts w:asciiTheme="minorHAnsi" w:hAnsiTheme="minorHAnsi" w:cs="Tahoma"/>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CD1B60" w:rsidRDefault="00CD1B60" w:rsidP="00CD1B60">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100</w:t>
      </w:r>
      <w:r>
        <w:rPr>
          <w:rFonts w:asciiTheme="minorHAnsi" w:hAnsiTheme="minorHAnsi"/>
          <w:color w:val="000000" w:themeColor="text1"/>
          <w:lang w:val="es-CO"/>
        </w:rPr>
        <w:t xml:space="preserve"> dividido en </w:t>
      </w:r>
      <w:r>
        <w:rPr>
          <w:bCs/>
        </w:rPr>
        <w:t>150</w:t>
      </w:r>
      <w:r>
        <w:rPr>
          <w:rFonts w:asciiTheme="minorHAnsi" w:hAnsiTheme="minorHAnsi"/>
          <w:color w:val="000000" w:themeColor="text1"/>
          <w:lang w:val="es-CO"/>
        </w:rPr>
        <w:t xml:space="preserve">  acciones ordinarias a  valor nominal de </w:t>
      </w:r>
      <w:r>
        <w:rPr>
          <w:bCs/>
        </w:rPr>
        <w:t>4</w:t>
      </w:r>
      <w:r>
        <w:rPr>
          <w:rFonts w:asciiTheme="minorHAnsi" w:hAnsiTheme="minorHAnsi"/>
          <w:color w:val="000000" w:themeColor="text1"/>
          <w:lang w:val="es-CO"/>
        </w:rPr>
        <w:t xml:space="preserve"> pesos cada una.</w:t>
      </w:r>
    </w:p>
    <w:p w:rsidR="00CD1B60" w:rsidRDefault="00CD1B60" w:rsidP="00CD1B60">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CD1B60" w:rsidRDefault="00CD1B60" w:rsidP="00CD1B60">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200</w:t>
      </w:r>
      <w:r>
        <w:rPr>
          <w:rFonts w:asciiTheme="minorHAnsi" w:hAnsiTheme="minorHAnsi"/>
          <w:color w:val="000000" w:themeColor="text1"/>
          <w:lang w:val="es-CO"/>
        </w:rPr>
        <w:t xml:space="preserve"> dividido en </w:t>
      </w:r>
      <w:r>
        <w:rPr>
          <w:bCs/>
        </w:rPr>
        <w:t xml:space="preserve">50 </w:t>
      </w:r>
      <w:r>
        <w:rPr>
          <w:rFonts w:asciiTheme="minorHAnsi" w:hAnsiTheme="minorHAnsi"/>
          <w:color w:val="000000" w:themeColor="text1"/>
          <w:lang w:val="es-CO"/>
        </w:rPr>
        <w:t xml:space="preserve">acciones de valor nominal de </w:t>
      </w:r>
      <w:r>
        <w:rPr>
          <w:bCs/>
        </w:rPr>
        <w:t>4</w:t>
      </w:r>
      <w:r>
        <w:rPr>
          <w:rFonts w:asciiTheme="minorHAnsi" w:hAnsiTheme="minorHAnsi"/>
          <w:color w:val="000000" w:themeColor="text1"/>
          <w:lang w:val="es-CO"/>
        </w:rPr>
        <w:t xml:space="preserve">  pesos cada una.</w:t>
      </w:r>
    </w:p>
    <w:p w:rsidR="00CD1B60" w:rsidRDefault="00CD1B60" w:rsidP="00CD1B60">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50</w:t>
      </w:r>
      <w:r>
        <w:rPr>
          <w:rFonts w:asciiTheme="minorHAnsi" w:hAnsiTheme="minorHAnsi"/>
          <w:color w:val="000000" w:themeColor="text1"/>
          <w:lang w:val="es-CO"/>
        </w:rPr>
        <w:t xml:space="preserve"> acciones de valor nominal de </w:t>
      </w:r>
      <w:r>
        <w:rPr>
          <w:bCs/>
        </w:rPr>
        <w:t>4</w:t>
      </w:r>
      <w:r>
        <w:rPr>
          <w:rFonts w:asciiTheme="minorHAnsi" w:hAnsiTheme="minorHAnsi"/>
          <w:color w:val="000000" w:themeColor="text1"/>
          <w:lang w:val="es-CO"/>
        </w:rPr>
        <w:t xml:space="preserve"> pesos  cada una, se distribuyen de la siguiente manera:</w:t>
      </w:r>
    </w:p>
    <w:p w:rsidR="001F776F" w:rsidRDefault="001F776F">
      <w:pPr>
        <w:jc w:val="both"/>
        <w:rPr>
          <w:rFonts w:asciiTheme="minorHAnsi" w:hAnsiTheme="minorHAnsi"/>
          <w:color w:val="000000" w:themeColor="text1"/>
          <w:lang w:val="es-CO"/>
        </w:rPr>
      </w:pP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rPr>
                <w:b/>
                <w:bCs/>
              </w:rPr>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1</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val="es-CO" w:eastAsia="es-CO"/>
              </w:rPr>
            </w:pPr>
            <w:r>
              <w:rPr>
                <w:lang w:eastAsia="es-CO"/>
              </w:rPr>
              <w:lastRenderedPageBreak/>
              <w:t>ac2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2</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3</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rsidP="00CD1B60">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300</w:t>
      </w:r>
      <w:r>
        <w:rPr>
          <w:rFonts w:asciiTheme="minorHAnsi" w:hAnsiTheme="minorHAnsi"/>
          <w:color w:val="000000" w:themeColor="text1"/>
          <w:lang w:val="es-CO"/>
        </w:rPr>
        <w:t xml:space="preserve"> dividido en </w:t>
      </w:r>
      <w:r>
        <w:rPr>
          <w:bCs/>
        </w:rPr>
        <w:t>100</w:t>
      </w:r>
      <w:r>
        <w:rPr>
          <w:rFonts w:asciiTheme="minorHAnsi" w:hAnsiTheme="minorHAnsi"/>
          <w:color w:val="000000" w:themeColor="text1"/>
          <w:lang w:val="es-CO"/>
        </w:rPr>
        <w:t xml:space="preserve"> acciones ordinarias con un valor nominal de </w:t>
      </w:r>
      <w:r>
        <w:rPr>
          <w:bCs/>
        </w:rPr>
        <w:t>4</w:t>
      </w:r>
      <w:r>
        <w:rPr>
          <w:rFonts w:asciiTheme="minorHAnsi" w:hAnsiTheme="minorHAnsi"/>
          <w:color w:val="000000" w:themeColor="text1"/>
          <w:lang w:val="es-CO"/>
        </w:rPr>
        <w:t xml:space="preserve"> cada una. Los Accionistas constituyentes han pagado el capital suscrito de la siguiente manera:</w:t>
      </w: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1</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2</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3</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1F776F" w:rsidRDefault="00CD1B60">
      <w:pPr>
        <w:jc w:val="both"/>
        <w:rPr>
          <w:rFonts w:asciiTheme="minorHAnsi" w:hAnsiTheme="minorHAnsi" w:cs="Tahoma"/>
          <w:color w:val="000000" w:themeColor="text1"/>
          <w:lang w:val="en-US"/>
        </w:rPr>
      </w:pPr>
      <w:r>
        <w:rPr>
          <w:rFonts w:cs="Tahoma"/>
          <w:color w:val="000000" w:themeColor="text1"/>
          <w:lang w:val="es-CO"/>
        </w:rPr>
        <w:lastRenderedPageBreak/>
        <w:t>(b)  Recibir una parte proporcional de las utilidades líquidas establecidas por los balances de fin de ejercicio de conformidad con los estatutos sociales.</w:t>
      </w:r>
    </w:p>
    <w:p w:rsidR="001F776F" w:rsidRDefault="00CD1B60">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1F776F" w:rsidRDefault="00CD1B60">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1F776F" w:rsidRDefault="00CD1B60">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1F776F" w:rsidRDefault="00CD1B60">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1F776F" w:rsidRDefault="00CD1B60">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w:t>
      </w:r>
      <w:r>
        <w:rPr>
          <w:rFonts w:cs="Tahoma"/>
          <w:color w:val="000000" w:themeColor="text1"/>
          <w:lang w:val="es-CO"/>
        </w:rPr>
        <w:lastRenderedPageBreak/>
        <w:t xml:space="preserve">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1F776F" w:rsidRDefault="00CD1B60">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1F776F" w:rsidRDefault="00CD1B60">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1F776F" w:rsidRDefault="00CD1B60">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1F776F" w:rsidRDefault="00CD1B60">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1F776F" w:rsidRDefault="00CD1B60">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1F776F" w:rsidRDefault="00CD1B60">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1F776F" w:rsidRDefault="001F776F">
      <w:pPr>
        <w:pStyle w:val="ListParagraph"/>
        <w:rPr>
          <w:rFonts w:asciiTheme="minorHAnsi" w:hAnsiTheme="minorHAnsi" w:cs="Tahoma"/>
          <w:color w:val="000000" w:themeColor="text1"/>
          <w:lang w:val="es-CO"/>
        </w:rPr>
      </w:pPr>
    </w:p>
    <w:p w:rsidR="001F776F" w:rsidRDefault="00CD1B60">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Órganos sociales.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1F776F" w:rsidRDefault="00CD1B60">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1F776F" w:rsidRDefault="00CD1B60">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1F776F" w:rsidRDefault="00CD1B60">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1F776F" w:rsidRDefault="00CD1B60">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1F776F" w:rsidRDefault="00CD1B60">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1F776F" w:rsidRDefault="00CD1B60">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1F776F" w:rsidRDefault="00CD1B60">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1F776F" w:rsidRDefault="00CD1B60">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1F776F" w:rsidRDefault="00CD1B60">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1F776F" w:rsidRDefault="00CD1B60">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1F776F" w:rsidRDefault="00CD1B60" w:rsidP="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cuantía hasta por la suma de cuantia.</w:t>
      </w:r>
    </w:p>
    <w:p w:rsidR="001F776F" w:rsidRDefault="00CD1B60">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1F776F" w:rsidRDefault="00CD1B60" w:rsidP="00CD1B60">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w:t>
      </w:r>
      <w:r w:rsidRPr="00CD1B60">
        <w:rPr>
          <w:rFonts w:asciiTheme="minorHAnsi" w:hAnsiTheme="minorHAnsi"/>
        </w:rPr>
        <w:t>a cuantia,</w:t>
      </w:r>
      <w:r w:rsidRPr="00CD1B60">
        <w:rPr>
          <w:rFonts w:asciiTheme="minorHAnsi" w:hAnsiTheme="minorHAnsi" w:cs="Tahoma"/>
          <w:color w:val="000000" w:themeColor="text1"/>
          <w:lang w:val="es-CO"/>
        </w:rPr>
        <w:t xml:space="preserve"> a</w:t>
      </w:r>
      <w:r>
        <w:rPr>
          <w:rFonts w:asciiTheme="minorHAnsi" w:hAnsiTheme="minorHAnsi" w:cs="Tahoma"/>
          <w:color w:val="000000" w:themeColor="text1"/>
          <w:lang w:val="es-CO"/>
        </w:rPr>
        <w:t xml:space="preserve"> la fecha del acto contrato, o para la enajenación de bienes raíces de propiedad de la sociedad, se requerirá necesariamente autorización por parte de la Asamblea </w:t>
      </w:r>
      <w:proofErr w:type="spellStart"/>
      <w:r>
        <w:rPr>
          <w:rFonts w:asciiTheme="minorHAnsi" w:hAnsiTheme="minorHAnsi" w:cs="Tahoma"/>
          <w:color w:val="000000" w:themeColor="text1"/>
          <w:lang w:val="es-CO"/>
        </w:rPr>
        <w:t>Genreal</w:t>
      </w:r>
      <w:proofErr w:type="spellEnd"/>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1F776F" w:rsidRDefault="001F776F">
      <w:pPr>
        <w:jc w:val="both"/>
        <w:rPr>
          <w:rFonts w:asciiTheme="minorHAnsi" w:hAnsiTheme="minorHAnsi"/>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Revisor Fiscal</w:t>
      </w:r>
    </w:p>
    <w:p w:rsidR="001F776F" w:rsidRDefault="00CD1B60">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Disposiciones varias</w:t>
      </w:r>
    </w:p>
    <w:p w:rsidR="001F776F" w:rsidRDefault="00CD1B60">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1F776F" w:rsidRDefault="001F776F">
      <w:pPr>
        <w:jc w:val="both"/>
        <w:rPr>
          <w:rFonts w:cs="Tahoma"/>
          <w:color w:val="000000" w:themeColor="text1"/>
          <w:lang w:val="es-CO"/>
        </w:rPr>
      </w:pP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1F776F" w:rsidRDefault="001F776F">
      <w:pPr>
        <w:pStyle w:val="Listavistosa-nfasis11"/>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1F776F" w:rsidRDefault="001F776F">
      <w:pPr>
        <w:pStyle w:val="Listavistosa-nfasis11"/>
        <w:ind w:left="0"/>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1F776F" w:rsidRDefault="00CD1B60">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1F776F" w:rsidRDefault="001F776F">
      <w:pPr>
        <w:spacing w:after="0"/>
        <w:jc w:val="both"/>
        <w:rPr>
          <w:rFonts w:asciiTheme="minorHAnsi" w:eastAsia="Times New Roman" w:hAnsiTheme="minorHAnsi" w:cs="Tahoma"/>
          <w:color w:val="000000" w:themeColor="text1"/>
          <w:lang w:val="es-CO" w:eastAsia="es-CO"/>
        </w:rPr>
      </w:pPr>
    </w:p>
    <w:p w:rsidR="001F776F" w:rsidRDefault="001F776F">
      <w:pPr>
        <w:jc w:val="center"/>
        <w:rPr>
          <w:rFonts w:asciiTheme="minorHAnsi" w:hAnsiTheme="minorHAnsi" w:cs="Tahoma"/>
          <w:b/>
          <w:bCs/>
          <w:color w:val="000000" w:themeColor="text1"/>
          <w:lang w:val="es-CO"/>
        </w:rPr>
      </w:pPr>
    </w:p>
    <w:p w:rsidR="001F776F" w:rsidRDefault="00CD1B60">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1F776F" w:rsidRDefault="001F776F">
      <w:pPr>
        <w:spacing w:after="0"/>
        <w:jc w:val="both"/>
        <w:rPr>
          <w:rFonts w:asciiTheme="minorHAnsi" w:hAnsiTheme="minorHAnsi" w:cs="Tahoma"/>
          <w:color w:val="000000" w:themeColor="text1"/>
          <w:lang w:val="es-CO"/>
        </w:rPr>
      </w:pP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1F776F" w:rsidRDefault="00CD1B60">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1F776F" w:rsidRDefault="001F776F">
      <w:pPr>
        <w:spacing w:after="0"/>
        <w:jc w:val="both"/>
        <w:rPr>
          <w:rFonts w:asciiTheme="minorHAnsi" w:hAnsiTheme="minorHAnsi" w:cs="Tahoma"/>
          <w:color w:val="000000" w:themeColor="text1"/>
          <w:lang w:val="es-CO"/>
        </w:rPr>
      </w:pPr>
    </w:p>
    <w:p w:rsidR="001F776F" w:rsidRDefault="00CD1B60" w:rsidP="00CD1B6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Pr>
          <w:bCs/>
        </w:rPr>
        <w:t>Jose Striedinger</w:t>
      </w:r>
      <w:r>
        <w:rPr>
          <w:rFonts w:cs="Tahoma"/>
          <w:color w:val="000000" w:themeColor="text1"/>
          <w:lang w:val="es-CO"/>
        </w:rPr>
        <w:t xml:space="preserve"> de nacionalidad Colombiana, identificado(a) con la cédula de ciudadanía número  </w:t>
      </w:r>
      <w:r>
        <w:rPr>
          <w:bCs/>
        </w:rPr>
        <w:t>1140828618</w:t>
      </w:r>
      <w:r>
        <w:rPr>
          <w:rFonts w:cs="Tahoma"/>
          <w:color w:val="000000" w:themeColor="text1"/>
          <w:lang w:val="es-CO"/>
        </w:rPr>
        <w:t xml:space="preserve">, expedida el día </w:t>
      </w:r>
      <w:r>
        <w:rPr>
          <w:bCs/>
        </w:rPr>
        <w:t>12 </w:t>
      </w:r>
      <w:r>
        <w:rPr>
          <w:rFonts w:cs="Tahoma"/>
          <w:color w:val="000000" w:themeColor="text1"/>
          <w:lang w:val="es-CO"/>
        </w:rPr>
        <w:t xml:space="preserve">de </w:t>
      </w:r>
      <w:r>
        <w:rPr>
          <w:bCs/>
        </w:rPr>
        <w:t>febrero</w:t>
      </w:r>
      <w:r>
        <w:rPr>
          <w:rFonts w:cs="Tahoma"/>
          <w:color w:val="000000" w:themeColor="text1"/>
          <w:lang w:val="es-CO"/>
        </w:rPr>
        <w:t xml:space="preserve"> del año </w:t>
      </w:r>
      <w:r>
        <w:rPr>
          <w:bCs/>
        </w:rPr>
        <w:t>1999</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Pr>
          <w:bCs/>
        </w:rPr>
        <w:t>empresas sas</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1F776F" w:rsidRDefault="00CD1B60" w:rsidP="00A76D9F">
      <w:pPr>
        <w:pStyle w:val="ListParagraph"/>
        <w:numPr>
          <w:ilvl w:val="0"/>
          <w:numId w:val="2"/>
        </w:numPr>
        <w:jc w:val="both"/>
        <w:rPr>
          <w:rFonts w:asciiTheme="minorHAnsi" w:hAnsiTheme="minorHAnsi"/>
          <w:color w:val="000000" w:themeColor="text1"/>
          <w:lang w:val="es-CO"/>
        </w:rPr>
      </w:pPr>
      <w:r w:rsidRPr="00CD1B60">
        <w:rPr>
          <w:rFonts w:asciiTheme="minorHAnsi" w:hAnsiTheme="minorHAnsi"/>
          <w:b/>
          <w:color w:val="000000" w:themeColor="text1"/>
          <w:lang w:val="es-CO"/>
        </w:rPr>
        <w:t>Representación legal. Suplente del Gerente</w:t>
      </w:r>
      <w:r w:rsidRPr="00CD1B60">
        <w:rPr>
          <w:rFonts w:asciiTheme="minorHAnsi" w:hAnsiTheme="minorHAnsi"/>
          <w:color w:val="000000" w:themeColor="text1"/>
          <w:lang w:val="es-CO"/>
        </w:rPr>
        <w:t xml:space="preserve">. </w:t>
      </w:r>
      <w:r>
        <w:rPr>
          <w:rFonts w:asciiTheme="minorHAnsi" w:hAnsiTheme="minorHAnsi"/>
          <w:color w:val="000000" w:themeColor="text1"/>
          <w:lang w:val="es-CO"/>
        </w:rPr>
        <w:t xml:space="preserve">Se designa a </w:t>
      </w:r>
      <w:r>
        <w:rPr>
          <w:bCs/>
        </w:rPr>
        <w:t>suplenete</w:t>
      </w:r>
      <w:r>
        <w:rPr>
          <w:rFonts w:asciiTheme="minorHAnsi" w:hAnsiTheme="minorHAnsi"/>
          <w:color w:val="000000" w:themeColor="text1"/>
          <w:lang w:val="es-CO"/>
        </w:rPr>
        <w:t xml:space="preserve">, de nacionalidad Colombiana, identificado(a) con la cédula de ciudadanía </w:t>
      </w:r>
      <w:r>
        <w:rPr>
          <w:bCs/>
        </w:rPr>
        <w:t>cedulasuplente</w:t>
      </w:r>
      <w:r>
        <w:rPr>
          <w:rFonts w:asciiTheme="minorHAnsi" w:hAnsiTheme="minorHAnsi"/>
          <w:color w:val="000000" w:themeColor="text1"/>
          <w:lang w:val="es-CO"/>
        </w:rPr>
        <w:t xml:space="preserve">, expedida el día </w:t>
      </w:r>
      <w:r>
        <w:rPr>
          <w:bCs/>
        </w:rPr>
        <w:t>21</w:t>
      </w:r>
      <w:r>
        <w:rPr>
          <w:rFonts w:asciiTheme="minorHAnsi" w:hAnsiTheme="minorHAnsi"/>
          <w:color w:val="000000" w:themeColor="text1"/>
          <w:lang w:val="es-CO"/>
        </w:rPr>
        <w:t xml:space="preserve"> de </w:t>
      </w:r>
      <w:r>
        <w:rPr>
          <w:bCs/>
        </w:rPr>
        <w:t>febrero</w:t>
      </w:r>
      <w:r>
        <w:rPr>
          <w:rFonts w:asciiTheme="minorHAnsi" w:hAnsiTheme="minorHAnsi"/>
          <w:color w:val="000000" w:themeColor="text1"/>
          <w:lang w:val="es-CO"/>
        </w:rPr>
        <w:t xml:space="preserve"> del año </w:t>
      </w:r>
      <w:r>
        <w:rPr>
          <w:bCs/>
        </w:rPr>
        <w:t>2017 </w:t>
      </w:r>
      <w:r>
        <w:rPr>
          <w:rFonts w:asciiTheme="minorHAnsi" w:hAnsiTheme="minorHAnsi"/>
          <w:color w:val="000000" w:themeColor="text1"/>
          <w:lang w:val="es-CO"/>
        </w:rPr>
        <w:t xml:space="preserve">como Suplente de Gerente de la sociedad </w:t>
      </w:r>
      <w:r>
        <w:rPr>
          <w:bCs/>
        </w:rPr>
        <w:t>empresas sas</w:t>
      </w:r>
      <w:r>
        <w:rPr>
          <w:rFonts w:asciiTheme="minorHAnsi" w:hAnsiTheme="minorHAnsi"/>
          <w:color w:val="000000" w:themeColor="text1"/>
          <w:lang w:val="es-CO"/>
        </w:rPr>
        <w:t xml:space="preserve"> quien estando presente en el acto de constitución manifiesta que acepta el nombramiento que se le realiza.</w:t>
      </w:r>
    </w:p>
    <w:p w:rsidR="00CD1B60" w:rsidRPr="00CD1B60" w:rsidRDefault="00CD1B60" w:rsidP="00CD1B60">
      <w:pPr>
        <w:pStyle w:val="ListParagraph"/>
        <w:jc w:val="both"/>
        <w:rPr>
          <w:rFonts w:asciiTheme="minorHAnsi" w:hAnsiTheme="minorHAnsi"/>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1F776F" w:rsidRDefault="00CD1B6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w:t>
      </w:r>
      <w:r w:rsidR="00DA5F6F">
        <w:rPr>
          <w:rFonts w:asciiTheme="minorHAnsi" w:hAnsiTheme="minorHAnsi"/>
          <w:color w:val="000000" w:themeColor="text1"/>
          <w:lang w:val="es-CO"/>
        </w:rPr>
        <w:t xml:space="preserve"> Registro mercantil, empresas sas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1F776F" w:rsidRDefault="00CD1B60" w:rsidP="00CD1B60">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1F776F" w:rsidRDefault="00CD1B60">
      <w:pPr>
        <w:pStyle w:val="Listavistosa-nfasis11"/>
        <w:ind w:left="0"/>
        <w:jc w:val="both"/>
      </w:pPr>
      <w:r>
        <w:rPr>
          <w:rFonts w:cs="Tahoma"/>
          <w:color w:val="000000" w:themeColor="text1"/>
          <w:lang w:val="es-CO"/>
        </w:rPr>
        <w:lastRenderedPageBreak/>
        <w:t>Accionistas,</w:t>
      </w:r>
    </w:p>
    <w:p w:rsidR="001F776F" w:rsidRDefault="001F776F">
      <w:pPr>
        <w:pStyle w:val="Listavistosa-nfasis11"/>
        <w:ind w:left="0"/>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ac1</w:t>
      </w:r>
    </w:p>
    <w:p w:rsidR="00CD1B60" w:rsidRDefault="00CD1B60" w:rsidP="00CD1B60">
      <w:pPr>
        <w:pStyle w:val="Listavistosa-nfasis11"/>
        <w:ind w:left="0"/>
        <w:jc w:val="both"/>
        <w:rPr>
          <w:bCs/>
        </w:rPr>
      </w:pPr>
      <w:r>
        <w:rPr>
          <w:bCs/>
        </w:rPr>
        <w:t>C.C No cedulaac1</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D1B60" w:rsidRDefault="00CD1B60" w:rsidP="00CD1B60">
      <w:pPr>
        <w:pStyle w:val="Listavistosa-nfasis11"/>
        <w:ind w:left="0"/>
        <w:jc w:val="both"/>
        <w:rPr>
          <w:bCs/>
        </w:rPr>
      </w:pPr>
      <w:r>
        <w:rPr>
          <w:bCs/>
        </w:rPr>
        <w:t>ac2</w:t>
      </w:r>
    </w:p>
    <w:p w:rsidR="00CD1B60" w:rsidRDefault="00CD1B60" w:rsidP="00CD1B60">
      <w:pPr>
        <w:pStyle w:val="Listavistosa-nfasis11"/>
        <w:ind w:left="0"/>
        <w:jc w:val="both"/>
        <w:rPr>
          <w:bCs/>
        </w:rPr>
      </w:pPr>
      <w:r>
        <w:rPr>
          <w:bCs/>
        </w:rPr>
        <w:t>C.C No cedulaac2</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ac3</w:t>
      </w:r>
    </w:p>
    <w:p w:rsidR="00CD1B60" w:rsidRDefault="00CD1B60" w:rsidP="00CD1B60">
      <w:pPr>
        <w:pStyle w:val="Listavistosa-nfasis11"/>
        <w:ind w:left="0"/>
        <w:jc w:val="both"/>
        <w:rPr>
          <w:bCs/>
        </w:rPr>
      </w:pPr>
      <w:r>
        <w:rPr>
          <w:bCs/>
        </w:rPr>
        <w:t>C.C No cedulaac3</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
      </w:r>
    </w:p>
    <w:p w:rsidR="00CD1B60" w:rsidRDefault="00CD1B60" w:rsidP="00CD1B60">
      <w:pPr>
        <w:pStyle w:val="Listavistosa-nfasis11"/>
        <w:ind w:left="0"/>
        <w:jc w:val="both"/>
        <w:rPr>
          <w:bCs/>
        </w:rPr>
      </w:pPr>
      <w:r>
        <w:rPr>
          <w:bCs/>
        </w:rPr>
        <w:t>C.C No </w:t>
      </w:r>
    </w:p>
    <w:p w:rsidR="001F776F" w:rsidRDefault="001F776F" w:rsidP="00CD1B60">
      <w:pPr>
        <w:pStyle w:val="Listavistosa-nfasis11"/>
        <w:ind w:left="0"/>
        <w:jc w:val="both"/>
      </w:pPr>
    </w:p>
    <w:sectPr w:rsidR="001F776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E9D"/>
    <w:multiLevelType w:val="multilevel"/>
    <w:tmpl w:val="846A4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AA43E2"/>
    <w:multiLevelType w:val="multilevel"/>
    <w:tmpl w:val="FB44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EE34A4"/>
    <w:multiLevelType w:val="multilevel"/>
    <w:tmpl w:val="73088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CC3FCC"/>
    <w:multiLevelType w:val="multilevel"/>
    <w:tmpl w:val="490CE6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E1D7161"/>
    <w:multiLevelType w:val="multilevel"/>
    <w:tmpl w:val="E10A02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6F"/>
    <w:rsid w:val="001A2A7B"/>
    <w:rsid w:val="001F776F"/>
    <w:rsid w:val="00864EF7"/>
    <w:rsid w:val="00C00097"/>
    <w:rsid w:val="00CD1B60"/>
    <w:rsid w:val="00DA5F6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EF988-6F94-4758-9F6C-B086E656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CD1B60"/>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680">
      <w:bodyDiv w:val="1"/>
      <w:marLeft w:val="0"/>
      <w:marRight w:val="0"/>
      <w:marTop w:val="0"/>
      <w:marBottom w:val="0"/>
      <w:divBdr>
        <w:top w:val="none" w:sz="0" w:space="0" w:color="auto"/>
        <w:left w:val="none" w:sz="0" w:space="0" w:color="auto"/>
        <w:bottom w:val="none" w:sz="0" w:space="0" w:color="auto"/>
        <w:right w:val="none" w:sz="0" w:space="0" w:color="auto"/>
      </w:divBdr>
    </w:div>
    <w:div w:id="854077575">
      <w:bodyDiv w:val="1"/>
      <w:marLeft w:val="0"/>
      <w:marRight w:val="0"/>
      <w:marTop w:val="0"/>
      <w:marBottom w:val="0"/>
      <w:divBdr>
        <w:top w:val="none" w:sz="0" w:space="0" w:color="auto"/>
        <w:left w:val="none" w:sz="0" w:space="0" w:color="auto"/>
        <w:bottom w:val="none" w:sz="0" w:space="0" w:color="auto"/>
        <w:right w:val="none" w:sz="0" w:space="0" w:color="auto"/>
      </w:divBdr>
    </w:div>
    <w:div w:id="903220830">
      <w:bodyDiv w:val="1"/>
      <w:marLeft w:val="0"/>
      <w:marRight w:val="0"/>
      <w:marTop w:val="0"/>
      <w:marBottom w:val="0"/>
      <w:divBdr>
        <w:top w:val="none" w:sz="0" w:space="0" w:color="auto"/>
        <w:left w:val="none" w:sz="0" w:space="0" w:color="auto"/>
        <w:bottom w:val="none" w:sz="0" w:space="0" w:color="auto"/>
        <w:right w:val="none" w:sz="0" w:space="0" w:color="auto"/>
      </w:divBdr>
    </w:div>
    <w:div w:id="978999422">
      <w:bodyDiv w:val="1"/>
      <w:marLeft w:val="0"/>
      <w:marRight w:val="0"/>
      <w:marTop w:val="0"/>
      <w:marBottom w:val="0"/>
      <w:divBdr>
        <w:top w:val="none" w:sz="0" w:space="0" w:color="auto"/>
        <w:left w:val="none" w:sz="0" w:space="0" w:color="auto"/>
        <w:bottom w:val="none" w:sz="0" w:space="0" w:color="auto"/>
        <w:right w:val="none" w:sz="0" w:space="0" w:color="auto"/>
      </w:divBdr>
    </w:div>
    <w:div w:id="1772118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6853</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21</cp:revision>
  <cp:lastPrinted>2016-08-02T15:47:00Z</cp:lastPrinted>
  <dcterms:created xsi:type="dcterms:W3CDTF">2017-11-11T15:31:00Z</dcterms:created>
  <dcterms:modified xsi:type="dcterms:W3CDTF">2018-03-29T15:47:00Z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