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BF5C24" w:rsidRDefault="003B3E24" w:rsidP="003B3E24">
      <w:pPr>
        <w:jc w:val="center"/>
      </w:pPr>
      <w:r>
        <w:rPr>
          <w:b/>
        </w:rPr>
        <w:t>Empresas sas</w:t>
      </w:r>
    </w:p>
    <w:p w:rsidR="00BF5C24" w:rsidRDefault="00BF5C24">
      <w:pPr>
        <w:jc w:val="both"/>
        <w:rPr>
          <w:rFonts w:asciiTheme="minorHAnsi" w:hAnsiTheme="minorHAnsi" w:cs="Tahoma"/>
          <w:b/>
          <w:color w:val="000000" w:themeColor="text1"/>
          <w:lang w:val="es-CO"/>
        </w:rPr>
      </w:pPr>
    </w:p>
    <w:p w:rsidR="00BF5C24" w:rsidRDefault="00625DAC" w:rsidP="005B2141">
      <w:r>
        <w:rPr>
          <w:rFonts w:cs="Tahoma"/>
          <w:color w:val="000000" w:themeColor="text1"/>
        </w:rPr>
        <w:t xml:space="preserve">En Barranquilla, Colombia a los </w:t>
      </w:r>
      <w:r w:rsidR="00081DEE" w:rsidRPr="00081DEE">
        <w:rPr>
          <w:bCs/>
        </w:rPr>
        <w:t>21</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081DEE" w:rsidRPr="00081DEE">
        <w:rPr>
          <w:bCs/>
        </w:rPr>
        <w:t>mes</w:t>
      </w:r>
      <w:r w:rsidR="00081DEE">
        <w:rPr>
          <w:bCs/>
        </w:rPr>
        <w:t xml:space="preserve"> </w:t>
      </w:r>
      <w:r>
        <w:rPr>
          <w:rFonts w:cs="Tahoma"/>
          <w:color w:val="000000" w:themeColor="text1"/>
        </w:rPr>
        <w:t>del año</w:t>
      </w:r>
      <w:r w:rsidR="00081DEE">
        <w:rPr>
          <w:rFonts w:cs="Tahoma"/>
          <w:color w:val="000000" w:themeColor="text1"/>
        </w:rPr>
        <w:t xml:space="preserve"> </w:t>
      </w:r>
      <w:r w:rsidR="00081DEE" w:rsidRPr="00081DEE">
        <w:rPr>
          <w:bCs/>
        </w:rPr>
        <w:t>año</w:t>
      </w:r>
      <w:bookmarkStart w:id="0" w:name="OLE_LINK3"/>
      <w:r>
        <w:rPr>
          <w:rFonts w:cs="Tahoma"/>
          <w:color w:val="000000" w:themeColor="text1"/>
        </w:rPr>
        <w:t xml:space="preserve">, comparecieron: </w:t>
      </w:r>
      <w:bookmarkEnd w:id="0"/>
      <w:r w:rsidR="008C2732">
        <w:rPr>
          <w:bCs/>
        </w:rPr>
        <w:t xml:space="preserve">a1, mayor de edad, domiciliado (a) en la ciudad de Bogota, Colombia,  identificado con cédula de ciudadanía No cca1, a2, mayor de edad, domiciliado (a) en la ciudad de Bogota, Colombia,  identificado con cédula de ciudadanía No cca2, a3, mayor de edad, domiciliado (a) en la ciudad de Bogota, Colombia,  identificado con cédula de ciudadanía No cca3, a4, mayor de edad, domiciliado (a) en la ciudad de Bogota, Colombia,  identificado con cédula de ciudadanía No cca4 </w:t>
      </w:r>
      <w:r>
        <w:rPr>
          <w:rFonts w:cs="Tahoma"/>
          <w:color w:val="000000" w:themeColor="text1"/>
        </w:rPr>
        <w:t>hemos decidido constituir como en efecto constituimos, una sociedad por acciones simplificada denominada</w:t>
      </w:r>
      <w:r w:rsidR="008C2732">
        <w:rPr>
          <w:rFonts w:cs="Tahoma"/>
          <w:color w:val="000000" w:themeColor="text1"/>
        </w:rPr>
        <w:t xml:space="preserve"> </w:t>
      </w:r>
      <w:r w:rsidR="008C2732">
        <w:rPr>
          <w:b/>
        </w:rPr>
        <w:t>Empresas sas</w:t>
      </w:r>
    </w:p>
    <w:p w:rsidR="00BF5C24" w:rsidRDefault="00625DAC">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BF5C24" w:rsidRDefault="00BF5C24">
      <w:pPr>
        <w:rPr>
          <w:rFonts w:asciiTheme="minorHAnsi" w:hAnsiTheme="minorHAnsi" w:cs="Tahoma"/>
          <w:color w:val="000000" w:themeColor="text1"/>
        </w:rPr>
      </w:pP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ESTATUTOS SOCIALES DE</w:t>
      </w:r>
    </w:p>
    <w:p w:rsidR="00BF5C24" w:rsidRDefault="008C2732" w:rsidP="008C2732">
      <w:pPr>
        <w:jc w:val="center"/>
      </w:pPr>
      <w:r>
        <w:rPr>
          <w:b/>
        </w:rPr>
        <w:t>Empresas sas</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BF5C24" w:rsidRDefault="00BF5C24">
      <w:pPr>
        <w:jc w:val="center"/>
        <w:rPr>
          <w:rFonts w:asciiTheme="minorHAnsi" w:hAnsiTheme="minorHAnsi" w:cs="Tahoma"/>
          <w:color w:val="000000" w:themeColor="text1"/>
          <w:lang w:val="es-CO"/>
        </w:rPr>
      </w:pPr>
    </w:p>
    <w:p w:rsidR="00BF5C24" w:rsidRDefault="00625DAC" w:rsidP="008C2732">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sidRPr="008C2732">
        <w:rPr>
          <w:rFonts w:asciiTheme="minorHAnsi" w:hAnsiTheme="minorHAnsi" w:cs="Tahoma"/>
          <w:b w:val="0"/>
          <w:color w:val="000000" w:themeColor="text1"/>
          <w:lang w:val="es-CO"/>
        </w:rPr>
        <w:t>La compañía es una sociedad por acciones simplificada, de naturaleza comercial, que se denominará</w:t>
      </w:r>
      <w:r w:rsidRPr="008C2732">
        <w:rPr>
          <w:rFonts w:asciiTheme="minorHAnsi" w:hAnsiTheme="minorHAnsi" w:cs="Calibri"/>
          <w:color w:val="000000" w:themeColor="text1"/>
          <w:lang w:val="es-CO"/>
        </w:rPr>
        <w:t xml:space="preserve"> </w:t>
      </w:r>
      <w:r w:rsidR="008C2732" w:rsidRPr="008C2732">
        <w:rPr>
          <w:rFonts w:asciiTheme="minorHAnsi" w:hAnsiTheme="minorHAnsi"/>
          <w:b w:val="0"/>
        </w:rPr>
        <w:t xml:space="preserve">Empresas sas </w:t>
      </w:r>
      <w:r w:rsidRPr="008C2732">
        <w:rPr>
          <w:rFonts w:asciiTheme="minorHAnsi" w:hAnsiTheme="minorHAnsi" w:cs="Tahoma"/>
          <w:b w:val="0"/>
          <w:color w:val="000000" w:themeColor="text1"/>
          <w:lang w:val="es-CO"/>
        </w:rPr>
        <w:t>regida por las cláusulas contenidas en estos estatutos, en la Ley 1258 de 2008 y en las demás disposiciones</w:t>
      </w:r>
      <w:r>
        <w:rPr>
          <w:rFonts w:asciiTheme="minorHAnsi" w:hAnsiTheme="minorHAnsi" w:cs="Tahoma"/>
          <w:b w:val="0"/>
          <w:color w:val="000000" w:themeColor="text1"/>
          <w:lang w:val="es-CO"/>
        </w:rPr>
        <w:t xml:space="preserve"> legales relevantes. </w:t>
      </w:r>
    </w:p>
    <w:p w:rsidR="00BF5C24" w:rsidRDefault="00BF5C24">
      <w:pPr>
        <w:pStyle w:val="Title"/>
        <w:spacing w:after="0"/>
        <w:jc w:val="both"/>
        <w:rPr>
          <w:rFonts w:asciiTheme="minorHAnsi" w:hAnsiTheme="minorHAnsi" w:cs="Tahoma"/>
          <w:color w:val="000000" w:themeColor="text1"/>
          <w:lang w:val="es-CO"/>
        </w:rPr>
      </w:pPr>
    </w:p>
    <w:p w:rsidR="00BF5C24" w:rsidRDefault="00625DAC">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BF5C24" w:rsidRDefault="008C2732" w:rsidP="008C2732">
      <w:pPr>
        <w:jc w:val="both"/>
      </w:pPr>
      <w:r>
        <w:rPr>
          <w:rFonts w:cs="Tahoma"/>
          <w:b/>
          <w:bCs/>
          <w:color w:val="000000" w:themeColor="text1"/>
        </w:rPr>
        <w:t>Artículo</w:t>
      </w:r>
      <w:r w:rsidR="00625DAC">
        <w:rPr>
          <w:rFonts w:cs="Tahoma"/>
          <w:b/>
          <w:bCs/>
          <w:color w:val="000000" w:themeColor="text1"/>
        </w:rPr>
        <w:t xml:space="preserve"> 2º. Objeto social.</w:t>
      </w:r>
      <w:r w:rsidR="00625DAC">
        <w:rPr>
          <w:rFonts w:cs="Tahoma"/>
          <w:color w:val="000000" w:themeColor="text1"/>
        </w:rPr>
        <w:t xml:space="preserve">  </w:t>
      </w:r>
      <w:r>
        <w:rPr>
          <w:b/>
        </w:rPr>
        <w:t>lo que sea</w:t>
      </w:r>
    </w:p>
    <w:p w:rsidR="00BF5C24" w:rsidRDefault="00625DAC">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BF5C24" w:rsidRDefault="00BF5C24">
      <w:pPr>
        <w:pStyle w:val="BodyText"/>
        <w:spacing w:after="0"/>
        <w:rPr>
          <w:rFonts w:ascii="Calibri" w:hAnsi="Calibri"/>
          <w:color w:val="000000"/>
          <w:lang w:val="es-ES"/>
        </w:rPr>
      </w:pPr>
    </w:p>
    <w:p w:rsidR="00BF5C24" w:rsidRDefault="00625DAC" w:rsidP="008C2732">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8C2732">
        <w:rPr>
          <w:rFonts w:cs="Tahoma"/>
          <w:color w:val="000000" w:themeColor="text1"/>
          <w:lang w:val="es-CO"/>
        </w:rPr>
        <w:t xml:space="preserve"> </w:t>
      </w:r>
      <w:r w:rsidR="008C2732" w:rsidRPr="008C2732">
        <w:rPr>
          <w:bCs/>
        </w:rPr>
        <w:t>Bogota</w:t>
      </w:r>
      <w:r>
        <w:rPr>
          <w:rFonts w:cs="Tahoma"/>
          <w:color w:val="000000" w:themeColor="text1"/>
          <w:lang w:val="es-CO"/>
        </w:rPr>
        <w:t>. La sociedad podrá crear sucursales, agencias o dependencias en otros lugares del país o del extranjero, por disposición de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BF5C24" w:rsidRDefault="00BF5C24">
      <w:pPr>
        <w:pStyle w:val="Heading1"/>
        <w:rPr>
          <w:rFonts w:asciiTheme="minorHAnsi" w:hAnsiTheme="minorHAnsi" w:cs="Tahoma"/>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BF5C24" w:rsidRDefault="00625DAC" w:rsidP="008C2732">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8C2732" w:rsidRPr="00552D4C">
        <w:rPr>
          <w:bCs/>
        </w:rPr>
        <w:t>AUTORIZADO</w:t>
      </w:r>
      <w:r>
        <w:rPr>
          <w:rFonts w:asciiTheme="minorHAnsi" w:hAnsiTheme="minorHAnsi"/>
          <w:color w:val="000000" w:themeColor="text1"/>
          <w:lang w:val="es-CO"/>
        </w:rPr>
        <w:t xml:space="preserve"> dividido en </w:t>
      </w:r>
      <w:r w:rsidR="008C2732" w:rsidRPr="00552D4C">
        <w:rPr>
          <w:bCs/>
        </w:rPr>
        <w:t>TOTALACCIONES</w:t>
      </w:r>
      <w:r>
        <w:rPr>
          <w:rFonts w:asciiTheme="minorHAnsi" w:hAnsiTheme="minorHAnsi"/>
          <w:color w:val="000000" w:themeColor="text1"/>
          <w:lang w:val="es-CO"/>
        </w:rPr>
        <w:t xml:space="preserve">  acciones ordinarias a  valor nominal de </w:t>
      </w:r>
      <w:r w:rsidR="008C2732" w:rsidRPr="00552D4C">
        <w:rPr>
          <w:bCs/>
        </w:rPr>
        <w:t>NOMINAL</w:t>
      </w:r>
      <w:r>
        <w:rPr>
          <w:rFonts w:asciiTheme="minorHAnsi" w:hAnsiTheme="minorHAnsi"/>
          <w:color w:val="000000" w:themeColor="text1"/>
          <w:lang w:val="es-CO"/>
        </w:rPr>
        <w:t xml:space="preserve"> pesos cada una</w:t>
      </w:r>
      <w:r w:rsidR="008C2732">
        <w:rPr>
          <w:rFonts w:asciiTheme="minorHAnsi" w:hAnsiTheme="minorHAnsi"/>
          <w:color w:val="000000" w:themeColor="text1"/>
          <w:lang w:val="es-CO"/>
        </w:rPr>
        <w:t>.</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BF5C24" w:rsidRPr="007159F3" w:rsidRDefault="00625DAC" w:rsidP="00EA4E2D">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7159F3" w:rsidRPr="00552D4C">
        <w:rPr>
          <w:bCs/>
        </w:rPr>
        <w:t>SUSCRITO</w:t>
      </w:r>
      <w:r>
        <w:rPr>
          <w:rFonts w:asciiTheme="minorHAnsi" w:hAnsiTheme="minorHAnsi"/>
          <w:color w:val="000000" w:themeColor="text1"/>
          <w:lang w:val="es-CO"/>
        </w:rPr>
        <w:t xml:space="preserve"> dividido en</w:t>
      </w:r>
      <w:r w:rsidR="00D5765F">
        <w:rPr>
          <w:rFonts w:asciiTheme="minorHAnsi" w:hAnsiTheme="minorHAnsi"/>
          <w:color w:val="000000" w:themeColor="text1"/>
          <w:lang w:val="es-CO"/>
        </w:rPr>
        <w:t xml:space="preserve"> </w:t>
      </w:r>
      <w:r w:rsidR="00D5765F" w:rsidRPr="00552D4C">
        <w:rPr>
          <w:bCs/>
        </w:rPr>
        <w:t>TOTAL SUSCRITO</w:t>
      </w:r>
      <w:r w:rsidR="00D5765F">
        <w:rPr>
          <w:bCs/>
        </w:rPr>
        <w:t xml:space="preserve"> </w:t>
      </w:r>
      <w:r>
        <w:rPr>
          <w:rFonts w:asciiTheme="minorHAnsi" w:hAnsiTheme="minorHAnsi"/>
          <w:color w:val="000000" w:themeColor="text1"/>
          <w:lang w:val="es-CO"/>
        </w:rPr>
        <w:t xml:space="preserve">acciones de valor nominal de </w:t>
      </w:r>
      <w:r w:rsidR="00EA4E2D" w:rsidRPr="00552D4C">
        <w:rPr>
          <w:bCs/>
        </w:rPr>
        <w:t>NOMINAL</w:t>
      </w:r>
      <w:r w:rsidR="00EA4E2D">
        <w:rPr>
          <w:rFonts w:asciiTheme="minorHAnsi" w:hAnsiTheme="minorHAnsi"/>
          <w:color w:val="000000" w:themeColor="text1"/>
          <w:lang w:val="es-CO"/>
        </w:rPr>
        <w:t xml:space="preserve"> </w:t>
      </w:r>
      <w:r>
        <w:rPr>
          <w:rFonts w:asciiTheme="minorHAnsi" w:hAnsiTheme="minorHAnsi"/>
          <w:color w:val="000000" w:themeColor="text1"/>
          <w:lang w:val="es-CO"/>
        </w:rPr>
        <w:t xml:space="preserve"> pesos cada una.</w:t>
      </w:r>
    </w:p>
    <w:p w:rsidR="00BF5C24" w:rsidRDefault="00625DAC" w:rsidP="007159F3">
      <w:pPr>
        <w:jc w:val="both"/>
      </w:pPr>
      <w:r>
        <w:rPr>
          <w:rFonts w:asciiTheme="minorHAnsi" w:hAnsiTheme="minorHAnsi"/>
          <w:color w:val="000000" w:themeColor="text1"/>
          <w:lang w:val="es-CO"/>
        </w:rPr>
        <w:t xml:space="preserve">Estas </w:t>
      </w:r>
      <w:r w:rsidR="007159F3" w:rsidRPr="00552D4C">
        <w:rPr>
          <w:bCs/>
        </w:rPr>
        <w:t>TOTALACCIONES</w:t>
      </w:r>
      <w:r>
        <w:rPr>
          <w:rFonts w:asciiTheme="minorHAnsi" w:hAnsiTheme="minorHAnsi"/>
          <w:color w:val="000000" w:themeColor="text1"/>
          <w:lang w:val="es-CO"/>
        </w:rPr>
        <w:t xml:space="preserve"> acciones de valor nominal de </w:t>
      </w:r>
      <w:r w:rsidR="007159F3" w:rsidRPr="00552D4C">
        <w:rPr>
          <w:bCs/>
        </w:rPr>
        <w:t>NOMINAL</w:t>
      </w:r>
      <w:r>
        <w:rPr>
          <w:rFonts w:asciiTheme="minorHAnsi" w:hAnsiTheme="minorHAnsi"/>
          <w:color w:val="000000" w:themeColor="text1"/>
          <w:lang w:val="es-CO"/>
        </w:rPr>
        <w:t xml:space="preserve"> pesos  cada una, se distribuyen de la siguiente manera:</w:t>
      </w:r>
    </w:p>
    <w:p w:rsidR="00BF5C24" w:rsidRDefault="00BF5C24">
      <w:pPr>
        <w:jc w:val="both"/>
        <w:rPr>
          <w:rFonts w:asciiTheme="minorHAnsi" w:hAnsiTheme="minorHAnsi"/>
          <w:color w:val="000000" w:themeColor="text1"/>
          <w:lang w:val="es-CO"/>
        </w:rPr>
      </w:pP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54"/>
        <w:gridCol w:w="2204"/>
        <w:gridCol w:w="2121"/>
        <w:gridCol w:w="3232"/>
      </w:tblGrid>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ACCIONISTAS</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ACCIONES SUSCRITAS</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CAPITAL SUSCRITO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rPr>
                <w:b/>
                <w:bCs/>
              </w:rPr>
            </w:pPr>
            <w:r>
              <w:rPr>
                <w:b/>
                <w:bCs/>
              </w:rPr>
              <w:t>PARTICIPACIÓN</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Pr="007159F3" w:rsidRDefault="007159F3">
            <w:pPr>
              <w:pStyle w:val="Contenidodelatabla"/>
            </w:pPr>
            <w:r>
              <w:t>a1</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1</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1</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7159F3" w:rsidP="007159F3">
            <w:pPr>
              <w:pStyle w:val="Contenidodelatabla"/>
            </w:pPr>
            <w:r>
              <w:t>1</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625DAC" w:rsidRDefault="007159F3" w:rsidP="007159F3">
            <w:pPr>
              <w:pStyle w:val="Contenidodelatabla"/>
              <w:rPr>
                <w:lang w:val="es-CO"/>
              </w:rPr>
            </w:pPr>
            <w:r>
              <w:lastRenderedPageBreak/>
              <w:t>a2</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2</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2</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2</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a3</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3</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3</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3</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a4</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4</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4</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4</w:t>
            </w:r>
          </w:p>
        </w:tc>
      </w:tr>
    </w:tbl>
    <w:p w:rsidR="00BF5C24" w:rsidRDefault="00BF5C24">
      <w:pPr>
        <w:jc w:val="both"/>
        <w:rPr>
          <w:rFonts w:asciiTheme="minorHAnsi" w:hAnsiTheme="minorHAnsi"/>
          <w:color w:val="000000" w:themeColor="text1"/>
          <w:lang w:val="es-CO"/>
        </w:rPr>
      </w:pPr>
    </w:p>
    <w:p w:rsidR="00BF5C24" w:rsidRDefault="00625DAC" w:rsidP="00D5765F">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D5765F" w:rsidRPr="00552D4C">
        <w:rPr>
          <w:bCs/>
        </w:rPr>
        <w:t>PAGADO</w:t>
      </w:r>
      <w:r>
        <w:rPr>
          <w:rFonts w:asciiTheme="minorHAnsi" w:hAnsiTheme="minorHAnsi"/>
          <w:color w:val="000000" w:themeColor="text1"/>
          <w:lang w:val="es-CO"/>
        </w:rPr>
        <w:t xml:space="preserve"> dividido en cien </w:t>
      </w:r>
      <w:r w:rsidR="00D5765F" w:rsidRPr="00552D4C">
        <w:rPr>
          <w:bCs/>
        </w:rPr>
        <w:t>TOTAL PAGADO</w:t>
      </w:r>
      <w:r>
        <w:rPr>
          <w:rFonts w:asciiTheme="minorHAnsi" w:hAnsiTheme="minorHAnsi"/>
          <w:color w:val="000000" w:themeColor="text1"/>
          <w:lang w:val="es-CO"/>
        </w:rPr>
        <w:t xml:space="preserve"> acciones ordinarias con un valor nominal de</w:t>
      </w:r>
      <w:r w:rsidR="00D5765F">
        <w:rPr>
          <w:rFonts w:asciiTheme="minorHAnsi" w:hAnsiTheme="minorHAnsi"/>
          <w:color w:val="000000" w:themeColor="text1"/>
          <w:lang w:val="es-CO"/>
        </w:rPr>
        <w:t xml:space="preserve"> </w:t>
      </w:r>
      <w:r w:rsidR="00D5765F" w:rsidRPr="00552D4C">
        <w:rPr>
          <w:bCs/>
        </w:rPr>
        <w:t>${company_capital_pagado_acciones_nominal}</w:t>
      </w:r>
      <w:r>
        <w:rPr>
          <w:rFonts w:asciiTheme="minorHAnsi" w:hAnsiTheme="minorHAnsi"/>
          <w:color w:val="000000" w:themeColor="text1"/>
          <w:lang w:val="es-CO"/>
        </w:rPr>
        <w:t xml:space="preserve"> cada una. Los Accionistas constituyentes han pagado el capital suscrito de la siguiente manera:</w:t>
      </w: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74"/>
        <w:gridCol w:w="2194"/>
        <w:gridCol w:w="2110"/>
        <w:gridCol w:w="3233"/>
      </w:tblGrid>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ACCIONISTAS</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ACCIONES PAGADAS</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CAPITAL PAGADO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pPr>
            <w:r>
              <w:rPr>
                <w:b/>
                <w:bCs/>
              </w:rPr>
              <w:t>PARTICIPACIÓN</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a1</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1</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4</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1</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a2</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2</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2</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2</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a3</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3</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3</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3</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a4</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4</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4</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4</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rPr>
                <w:b/>
                <w:bCs/>
              </w:rPr>
            </w:pP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p>
        </w:tc>
      </w:tr>
    </w:tbl>
    <w:p w:rsidR="00BF5C24" w:rsidRDefault="00BF5C24">
      <w:pPr>
        <w:jc w:val="both"/>
        <w:rPr>
          <w:rFonts w:asciiTheme="minorHAnsi" w:hAnsiTheme="minorHAnsi"/>
          <w:color w:val="000000" w:themeColor="text1"/>
          <w:lang w:val="es-CO"/>
        </w:rPr>
      </w:pPr>
    </w:p>
    <w:p w:rsidR="00BF5C24" w:rsidRDefault="00625DAC">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BF5C24" w:rsidRDefault="00625DAC">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BF5C24" w:rsidRDefault="00625DAC">
      <w:pPr>
        <w:jc w:val="both"/>
        <w:rPr>
          <w:rFonts w:asciiTheme="minorHAnsi" w:hAnsiTheme="minorHAnsi" w:cs="Tahoma"/>
          <w:color w:val="000000" w:themeColor="text1"/>
          <w:lang w:val="en-US"/>
        </w:rPr>
      </w:pPr>
      <w:r>
        <w:rPr>
          <w:rFonts w:cs="Tahoma"/>
          <w:color w:val="000000" w:themeColor="text1"/>
          <w:lang w:val="es-CO"/>
        </w:rPr>
        <w:lastRenderedPageBreak/>
        <w:t>(c) Negociar las acciones, teniendo en cuenta el derecho de preferencia a favor de los accionistas y de la sociedad y la restricción establecida en el artículo 12 del presente estatuto;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BF5C24" w:rsidRDefault="00625DAC">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BF5C24" w:rsidRDefault="00625DAC">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BF5C24" w:rsidRDefault="00625DAC">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BF5C24" w:rsidRDefault="00625DAC">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BF5C24" w:rsidRDefault="00625DAC">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BF5C24" w:rsidRDefault="00625DAC">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BF5C24" w:rsidRDefault="00625DAC">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BF5C24" w:rsidRDefault="00625DAC">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BF5C24" w:rsidRDefault="00625DAC">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BF5C24" w:rsidRDefault="00BF5C24">
      <w:pPr>
        <w:pStyle w:val="ListParagraph"/>
        <w:rPr>
          <w:rFonts w:asciiTheme="minorHAnsi" w:hAnsiTheme="minorHAnsi" w:cs="Tahoma"/>
          <w:color w:val="000000" w:themeColor="text1"/>
          <w:lang w:val="es-CO"/>
        </w:rPr>
      </w:pPr>
    </w:p>
    <w:p w:rsidR="00BF5C24" w:rsidRDefault="00625DAC">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Órganos sociales.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BF5C24" w:rsidRDefault="00625DAC">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rsidR="00BF5C24" w:rsidRDefault="00625DAC">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rsidR="00BF5C24" w:rsidRDefault="00625DAC">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BF5C24" w:rsidRDefault="00625DAC">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BF5C24" w:rsidRDefault="00625DAC">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BF5C24" w:rsidRDefault="00625DAC">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BF5C24" w:rsidRDefault="00625DAC">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BF5C24" w:rsidRDefault="00625DAC">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BF5C24" w:rsidRDefault="00625DAC">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BF5C24" w:rsidRDefault="00625DAC">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BF5C24" w:rsidRDefault="00625DAC" w:rsidP="0082578B">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en una cuantía hasta por la suma de </w:t>
      </w:r>
      <w:r w:rsidR="0082578B">
        <w:rPr>
          <w:rFonts w:cs="Tahoma"/>
          <w:color w:val="000000" w:themeColor="text1"/>
          <w:lang w:val="es-CO"/>
        </w:rPr>
        <w:t>CUANTIA</w:t>
      </w:r>
    </w:p>
    <w:p w:rsidR="00BF5C24" w:rsidRDefault="00625DAC">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BF5C24" w:rsidRPr="0029250A" w:rsidRDefault="00625DAC" w:rsidP="0029250A">
      <w:pPr>
        <w:jc w:val="center"/>
        <w:rPr>
          <w:bCs/>
        </w:rPr>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a </w:t>
      </w:r>
      <w:r w:rsidR="0029250A">
        <w:rPr>
          <w:bCs/>
        </w:rPr>
        <w:t>CUANTIA</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29250A">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BF5C24" w:rsidRDefault="00BF5C24">
      <w:pPr>
        <w:jc w:val="both"/>
        <w:rPr>
          <w:rFonts w:asciiTheme="minorHAnsi" w:hAnsiTheme="minorHAnsi"/>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Revisor Fiscal</w:t>
      </w:r>
    </w:p>
    <w:p w:rsidR="00BF5C24" w:rsidRDefault="00625DAC">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Disposiciones varias</w:t>
      </w:r>
    </w:p>
    <w:p w:rsidR="00BF5C24" w:rsidRDefault="00625DAC">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w:t>
      </w:r>
      <w:r w:rsidR="00E4386A">
        <w:rPr>
          <w:rFonts w:cs="Tahoma"/>
          <w:color w:val="000000" w:themeColor="text1"/>
          <w:lang w:val="es-CO"/>
        </w:rPr>
        <w:t>endiente</w:t>
      </w:r>
      <w:r>
        <w:rPr>
          <w:rFonts w:cs="Tahoma"/>
          <w:color w:val="000000" w:themeColor="text1"/>
          <w:lang w:val="es-CO"/>
        </w:rPr>
        <w:t>, en los  términos del artículo 28º de la ley 1258 de 2008. En caso de proveerse el cargo de revisor fiscal, el dictamen será realizado por quien ocupe el cargo.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BF5C24" w:rsidRDefault="00BF5C24">
      <w:pPr>
        <w:jc w:val="both"/>
        <w:rPr>
          <w:rFonts w:cs="Tahoma"/>
          <w:color w:val="000000" w:themeColor="text1"/>
          <w:lang w:val="es-CO"/>
        </w:rPr>
      </w:pP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BF5C24" w:rsidRDefault="00BF5C24">
      <w:pPr>
        <w:pStyle w:val="Listavistosa-nfasis11"/>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BF5C24" w:rsidRDefault="00BF5C24">
      <w:pPr>
        <w:pStyle w:val="Listavistosa-nfasis11"/>
        <w:ind w:left="0"/>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BF5C24" w:rsidRDefault="00625DAC">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BF5C24" w:rsidRDefault="00BF5C24">
      <w:pPr>
        <w:spacing w:after="0"/>
        <w:jc w:val="both"/>
        <w:rPr>
          <w:rFonts w:asciiTheme="minorHAnsi" w:eastAsia="Times New Roman" w:hAnsiTheme="minorHAnsi" w:cs="Tahoma"/>
          <w:color w:val="000000" w:themeColor="text1"/>
          <w:lang w:val="es-CO" w:eastAsia="es-CO"/>
        </w:rPr>
      </w:pPr>
    </w:p>
    <w:p w:rsidR="00BF5C24" w:rsidRDefault="00BF5C24">
      <w:pPr>
        <w:jc w:val="center"/>
        <w:rPr>
          <w:rFonts w:asciiTheme="minorHAnsi" w:hAnsiTheme="minorHAnsi" w:cs="Tahoma"/>
          <w:b/>
          <w:bCs/>
          <w:color w:val="000000" w:themeColor="text1"/>
          <w:lang w:val="es-CO"/>
        </w:rPr>
      </w:pPr>
    </w:p>
    <w:p w:rsidR="00BF5C24" w:rsidRDefault="00625DAC">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BF5C24" w:rsidRDefault="00BF5C24">
      <w:pPr>
        <w:spacing w:after="0"/>
        <w:jc w:val="both"/>
        <w:rPr>
          <w:rFonts w:asciiTheme="minorHAnsi" w:hAnsiTheme="minorHAnsi" w:cs="Tahoma"/>
          <w:color w:val="000000" w:themeColor="text1"/>
          <w:lang w:val="es-CO"/>
        </w:rPr>
      </w:pP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BF5C24" w:rsidRDefault="00625DAC">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BF5C24" w:rsidRDefault="00BF5C24">
      <w:pPr>
        <w:spacing w:after="0"/>
        <w:jc w:val="both"/>
        <w:rPr>
          <w:rFonts w:asciiTheme="minorHAnsi" w:hAnsiTheme="minorHAnsi" w:cs="Tahoma"/>
          <w:color w:val="000000" w:themeColor="text1"/>
          <w:lang w:val="es-CO"/>
        </w:rPr>
      </w:pPr>
    </w:p>
    <w:p w:rsidR="00BF5C24" w:rsidRDefault="00625DAC" w:rsidP="005B21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5B2141" w:rsidRPr="005B2141">
        <w:rPr>
          <w:bCs/>
        </w:rPr>
        <w:t>G1</w:t>
      </w:r>
      <w:r>
        <w:rPr>
          <w:rFonts w:cs="Tahoma"/>
          <w:color w:val="000000" w:themeColor="text1"/>
          <w:lang w:val="es-CO"/>
        </w:rPr>
        <w:t xml:space="preserve"> de nacionalidad Colombiana, identificado(a) con la cédula de ciudadanía número  </w:t>
      </w:r>
      <w:r w:rsidR="005B2141" w:rsidRPr="005B2141">
        <w:rPr>
          <w:bCs/>
        </w:rPr>
        <w:t>ccg1</w:t>
      </w:r>
      <w:r>
        <w:rPr>
          <w:rFonts w:cs="Tahoma"/>
          <w:color w:val="000000" w:themeColor="text1"/>
          <w:lang w:val="es-CO"/>
        </w:rPr>
        <w:t xml:space="preserve">, expedida el día </w:t>
      </w:r>
      <w:r w:rsidR="005B2141" w:rsidRPr="005B2141">
        <w:rPr>
          <w:bCs/>
        </w:rPr>
        <w:t>21</w:t>
      </w:r>
      <w:r w:rsidR="005B2141">
        <w:rPr>
          <w:bCs/>
          <w:lang w:val="en-US"/>
        </w:rPr>
        <w:t xml:space="preserve"> </w:t>
      </w:r>
      <w:r>
        <w:rPr>
          <w:rFonts w:cs="Tahoma"/>
          <w:color w:val="000000" w:themeColor="text1"/>
          <w:lang w:val="es-CO"/>
        </w:rPr>
        <w:t xml:space="preserve">de </w:t>
      </w:r>
      <w:r w:rsidR="005B2141" w:rsidRPr="005B2141">
        <w:rPr>
          <w:bCs/>
        </w:rPr>
        <w:t>mes</w:t>
      </w:r>
      <w:r>
        <w:rPr>
          <w:rFonts w:cs="Tahoma"/>
          <w:color w:val="000000" w:themeColor="text1"/>
          <w:lang w:val="es-CO"/>
        </w:rPr>
        <w:t xml:space="preserve"> del año </w:t>
      </w:r>
      <w:r w:rsidR="005B2141" w:rsidRPr="005B2141">
        <w:rPr>
          <w:bCs/>
        </w:rPr>
        <w:t>año</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sidR="005B2141" w:rsidRPr="005B2141">
        <w:rPr>
          <w:bCs/>
        </w:rPr>
        <w:t>Empresas sas</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BF5C24" w:rsidRDefault="00625DAC" w:rsidP="004023E1">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5B2141" w:rsidRPr="005B2141">
        <w:rPr>
          <w:bCs/>
        </w:rPr>
        <w:t>G2</w:t>
      </w:r>
      <w:r>
        <w:rPr>
          <w:rFonts w:asciiTheme="minorHAnsi" w:hAnsiTheme="minorHAnsi"/>
          <w:color w:val="000000" w:themeColor="text1"/>
          <w:lang w:val="es-CO"/>
        </w:rPr>
        <w:t xml:space="preserve">, de nacionalidad Colombiana, identificado(a) con la cédula de ciudadanía </w:t>
      </w:r>
      <w:r w:rsidR="005B2141" w:rsidRPr="005B2141">
        <w:rPr>
          <w:bCs/>
        </w:rPr>
        <w:t>ccg2</w:t>
      </w:r>
      <w:r>
        <w:rPr>
          <w:rFonts w:asciiTheme="minorHAnsi" w:hAnsiTheme="minorHAnsi"/>
          <w:color w:val="000000" w:themeColor="text1"/>
          <w:lang w:val="es-CO"/>
        </w:rPr>
        <w:t xml:space="preserve">, expedida el día </w:t>
      </w:r>
      <w:r w:rsidR="004023E1" w:rsidRPr="005B2141">
        <w:rPr>
          <w:bCs/>
        </w:rPr>
        <w:t>21</w:t>
      </w:r>
      <w:r>
        <w:rPr>
          <w:rFonts w:asciiTheme="minorHAnsi" w:hAnsiTheme="minorHAnsi"/>
          <w:color w:val="000000" w:themeColor="text1"/>
          <w:lang w:val="es-CO"/>
        </w:rPr>
        <w:t xml:space="preserve"> de </w:t>
      </w:r>
      <w:r w:rsidR="004023E1" w:rsidRPr="005B2141">
        <w:rPr>
          <w:bCs/>
        </w:rPr>
        <w:t>mes</w:t>
      </w:r>
      <w:r>
        <w:rPr>
          <w:rFonts w:asciiTheme="minorHAnsi" w:hAnsiTheme="minorHAnsi"/>
          <w:color w:val="000000" w:themeColor="text1"/>
          <w:lang w:val="es-CO"/>
        </w:rPr>
        <w:t xml:space="preserve"> del año </w:t>
      </w:r>
      <w:r w:rsidR="004023E1" w:rsidRPr="005B2141">
        <w:rPr>
          <w:bCs/>
        </w:rPr>
        <w:t>año</w:t>
      </w:r>
      <w:r w:rsidR="004023E1">
        <w:rPr>
          <w:bCs/>
          <w:lang w:val="en-US"/>
        </w:rPr>
        <w:t xml:space="preserve"> </w:t>
      </w:r>
      <w:r>
        <w:rPr>
          <w:rFonts w:asciiTheme="minorHAnsi" w:hAnsiTheme="minorHAnsi"/>
          <w:color w:val="000000" w:themeColor="text1"/>
          <w:lang w:val="es-CO"/>
        </w:rPr>
        <w:t xml:space="preserve">como Suplente de Gerente de la sociedad </w:t>
      </w:r>
      <w:r w:rsidR="004023E1" w:rsidRPr="005B2141">
        <w:rPr>
          <w:bCs/>
        </w:rPr>
        <w:t>Empresas sas</w:t>
      </w:r>
      <w:r>
        <w:rPr>
          <w:rFonts w:asciiTheme="minorHAnsi" w:hAnsiTheme="minorHAnsi"/>
          <w:color w:val="000000" w:themeColor="text1"/>
          <w:lang w:val="es-CO"/>
        </w:rPr>
        <w:t xml:space="preserve"> quien estando presente en el acto de constitución manifiesta que acepta el nombramiento que se le realiza.</w:t>
      </w:r>
    </w:p>
    <w:p w:rsidR="00BF5C24" w:rsidRDefault="00BF5C24">
      <w:pPr>
        <w:ind w:left="720"/>
        <w:jc w:val="both"/>
        <w:rPr>
          <w:rFonts w:asciiTheme="minorHAnsi" w:hAnsiTheme="minorHAnsi"/>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BF5C24" w:rsidRDefault="00625DAC">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Pr>
          <w:rFonts w:asciiTheme="minorHAnsi" w:hAnsiTheme="minorHAnsi"/>
          <w:b/>
          <w:color w:val="000000" w:themeColor="text1"/>
          <w:lang w:val="es-CO"/>
        </w:rPr>
        <w:t xml:space="preserve"> </w:t>
      </w:r>
      <w:r w:rsidR="004023E1" w:rsidRPr="004023E1">
        <w:rPr>
          <w:rFonts w:asciiTheme="minorHAnsi" w:hAnsiTheme="minorHAnsi"/>
          <w:bCs/>
          <w:color w:val="000000" w:themeColor="text1"/>
          <w:lang w:val="es-CO"/>
        </w:rPr>
        <w:t>Registro mercantil</w:t>
      </w:r>
      <w:r w:rsidRPr="004023E1">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de la Ley 1258 de 2008.</w:t>
      </w:r>
    </w:p>
    <w:p w:rsidR="00BF5C24" w:rsidRDefault="00625DAC">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625DAC">
      <w:pPr>
        <w:pStyle w:val="Listavistosa-nfasis11"/>
        <w:ind w:left="0"/>
        <w:jc w:val="both"/>
      </w:pPr>
      <w:r>
        <w:rPr>
          <w:rFonts w:cs="Tahoma"/>
          <w:color w:val="000000" w:themeColor="text1"/>
          <w:lang w:val="es-CO"/>
        </w:rPr>
        <w:t>Accionistas,</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4023E1" w:rsidRDefault="00EA4E2D">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a1</w:t>
      </w:r>
    </w:p>
    <w:p w:rsidR="004023E1" w:rsidRDefault="00EA4E2D" w:rsidP="00EA4E2D">
      <w:pPr>
        <w:pStyle w:val="Listavistosa-nfasis11"/>
        <w:ind w:left="0"/>
        <w:jc w:val="both"/>
        <w:rPr>
          <w:bCs/>
        </w:rPr>
      </w:pPr>
      <w:r>
        <w:rPr>
          <w:bCs/>
        </w:rPr>
        <w:t xml:space="preserve">C.C </w:t>
      </w:r>
      <w:r w:rsidR="00FF0CCC">
        <w:rPr>
          <w:bCs/>
        </w:rPr>
        <w:t>cca2</w:t>
      </w: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625DAC" w:rsidP="00FF0CCC">
      <w:pPr>
        <w:pStyle w:val="Listavistosa-nfasis11"/>
        <w:ind w:left="0"/>
        <w:jc w:val="both"/>
        <w:rPr>
          <w:rFonts w:cs="Tahoma"/>
          <w:color w:val="000000" w:themeColor="text1"/>
          <w:lang w:val="es-CO"/>
        </w:rPr>
      </w:pPr>
      <w:r>
        <w:rPr>
          <w:rFonts w:cs="Tahoma"/>
          <w:b/>
          <w:color w:val="000000" w:themeColor="text1"/>
          <w:lang w:val="es-CO"/>
        </w:rPr>
        <w:t xml:space="preserve"> </w:t>
      </w:r>
      <w:r w:rsidR="00FF0CCC">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a2</w:t>
      </w:r>
    </w:p>
    <w:p w:rsidR="00FF0CCC" w:rsidRDefault="00FF0CCC" w:rsidP="00FF0CCC">
      <w:pPr>
        <w:pStyle w:val="Listavistosa-nfasis11"/>
        <w:ind w:left="0"/>
        <w:jc w:val="both"/>
        <w:rPr>
          <w:bCs/>
        </w:rPr>
      </w:pPr>
      <w:r>
        <w:rPr>
          <w:bCs/>
        </w:rPr>
        <w:t xml:space="preserve">C.C </w:t>
      </w:r>
      <w:r>
        <w:rPr>
          <w:bCs/>
        </w:rPr>
        <w:t>cca3</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a3</w:t>
      </w:r>
    </w:p>
    <w:p w:rsidR="00FF0CCC" w:rsidRDefault="00FF0CCC" w:rsidP="00FF0CCC">
      <w:pPr>
        <w:pStyle w:val="Listavistosa-nfasis11"/>
        <w:ind w:left="0"/>
        <w:jc w:val="both"/>
        <w:rPr>
          <w:bCs/>
        </w:rPr>
      </w:pPr>
      <w:r>
        <w:rPr>
          <w:bCs/>
        </w:rPr>
        <w:t xml:space="preserve">C.C </w:t>
      </w:r>
      <w:r>
        <w:rPr>
          <w:bCs/>
        </w:rPr>
        <w:t>cca3</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a4</w:t>
      </w:r>
    </w:p>
    <w:p w:rsidR="00FF0CCC" w:rsidRDefault="00FF0CCC" w:rsidP="00FF0CCC">
      <w:pPr>
        <w:pStyle w:val="Listavistosa-nfasis11"/>
        <w:ind w:left="0"/>
        <w:jc w:val="both"/>
        <w:rPr>
          <w:bCs/>
        </w:rPr>
      </w:pPr>
      <w:r>
        <w:rPr>
          <w:bCs/>
        </w:rPr>
        <w:t xml:space="preserve">C.C </w:t>
      </w:r>
      <w:r>
        <w:rPr>
          <w:bCs/>
        </w:rPr>
        <w:t>cca4</w:t>
      </w:r>
    </w:p>
    <w:p w:rsidR="00FF0CCC" w:rsidRDefault="00FF0CCC" w:rsidP="00FF0CCC">
      <w:pPr>
        <w:pStyle w:val="Listavistosa-nfasis11"/>
        <w:ind w:left="0"/>
        <w:jc w:val="both"/>
        <w:rPr>
          <w:bCs/>
        </w:rPr>
      </w:pPr>
    </w:p>
    <w:p w:rsidR="00BF5C24" w:rsidRDefault="00BF5C24">
      <w:pPr>
        <w:jc w:val="both"/>
      </w:pPr>
    </w:p>
    <w:sectPr w:rsidR="00BF5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F19"/>
    <w:multiLevelType w:val="multilevel"/>
    <w:tmpl w:val="D81C4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55B1D"/>
    <w:multiLevelType w:val="multilevel"/>
    <w:tmpl w:val="45A2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AA31558"/>
    <w:multiLevelType w:val="multilevel"/>
    <w:tmpl w:val="00E82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995A02"/>
    <w:multiLevelType w:val="multilevel"/>
    <w:tmpl w:val="6B74A8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76D1FC6"/>
    <w:multiLevelType w:val="multilevel"/>
    <w:tmpl w:val="6DAE4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24"/>
    <w:rsid w:val="00081DEE"/>
    <w:rsid w:val="00245298"/>
    <w:rsid w:val="0029250A"/>
    <w:rsid w:val="003B3E24"/>
    <w:rsid w:val="004023E1"/>
    <w:rsid w:val="005B2141"/>
    <w:rsid w:val="00625DAC"/>
    <w:rsid w:val="007159F3"/>
    <w:rsid w:val="0082578B"/>
    <w:rsid w:val="008C2732"/>
    <w:rsid w:val="00BF5C24"/>
    <w:rsid w:val="00C43226"/>
    <w:rsid w:val="00D5765F"/>
    <w:rsid w:val="00E4386A"/>
    <w:rsid w:val="00EA4E2D"/>
    <w:rsid w:val="00FF0CCC"/>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7A53E-672E-495A-A006-4D057EF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3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6825</Words>
  <Characters>38907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24</cp:revision>
  <cp:lastPrinted>2016-08-02T15:47:00Z</cp:lastPrinted>
  <dcterms:created xsi:type="dcterms:W3CDTF">2017-11-11T15:31:00Z</dcterms:created>
  <dcterms:modified xsi:type="dcterms:W3CDTF">2018-03-12T21:19:00Z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