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E2" w:rsidRDefault="00C866E2">
      <w:pPr>
        <w:ind w:left="-851" w:right="-1164"/>
        <w:rPr>
          <w:rFonts w:ascii="Calibri" w:hAnsi="Calibri" w:cs="Calibri"/>
          <w:lang w:val="es-CO"/>
        </w:rPr>
      </w:pPr>
    </w:p>
    <w:p w:rsidR="00C866E2" w:rsidRDefault="00C866E2">
      <w:bookmarkStart w:id="0" w:name="__DdeLink__241_2498622091"/>
      <w:bookmarkEnd w:id="0"/>
      <w:r>
        <w:rPr>
          <w:rFonts w:ascii="Calibri" w:hAnsi="Calibri" w:cs="Calibri"/>
          <w:color w:val="000000"/>
          <w:sz w:val="28"/>
          <w:szCs w:val="28"/>
          <w:lang w:val="es-CO"/>
        </w:rPr>
        <w:t>00</w:t>
      </w:r>
      <w:r w:rsidR="00BB1968">
        <w:rPr>
          <w:rFonts w:ascii="Calibri" w:hAnsi="Calibri" w:cs="Calibri"/>
          <w:color w:val="000000"/>
          <w:sz w:val="28"/>
          <w:szCs w:val="28"/>
          <w:lang w:val="es-CO"/>
        </w:rPr>
        <w:t>_</w:t>
      </w:r>
    </w:p>
    <w:p w:rsidR="00C866E2" w:rsidRDefault="00BB1968">
      <w:pPr>
        <w:jc w:val="center"/>
        <w:rPr>
          <w:rFonts w:ascii="Arial" w:hAnsi="Arial" w:cs="Arial"/>
          <w:b/>
          <w:color w:val="000000"/>
          <w:sz w:val="52"/>
          <w:szCs w:val="52"/>
          <w:lang w:val="es-CO"/>
        </w:rPr>
      </w:pPr>
      <w:r>
        <w:rPr>
          <w:rFonts w:ascii="Arial" w:hAnsi="Arial" w:cs="Arial"/>
          <w:b/>
          <w:color w:val="000000"/>
          <w:sz w:val="52"/>
          <w:szCs w:val="52"/>
          <w:lang w:val="es-CO"/>
        </w:rPr>
        <w:t>______________________</w:t>
      </w:r>
    </w:p>
    <w:p w:rsidR="00C866E2" w:rsidRDefault="00C866E2">
      <w:pPr>
        <w:jc w:val="center"/>
        <w:rPr>
          <w:lang w:val="es-CO"/>
        </w:rPr>
      </w:pPr>
    </w:p>
    <w:p w:rsidR="00C866E2" w:rsidRDefault="00BB1968">
      <w:pPr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_________________</w:t>
      </w:r>
    </w:p>
    <w:p w:rsidR="00C866E2" w:rsidRDefault="00C866E2">
      <w:pPr>
        <w:jc w:val="center"/>
      </w:pPr>
      <w:r>
        <w:rPr>
          <w:rFonts w:ascii="Abadi MT Condensed Light" w:eastAsia="Abadi MT Condensed Light" w:hAnsi="Abadi MT Condensed Light" w:cs="Abadi MT Condensed Light"/>
          <w:b/>
          <w:color w:val="000000"/>
          <w:sz w:val="52"/>
          <w:szCs w:val="52"/>
          <w:lang w:val="es-CO"/>
        </w:rPr>
        <w:t xml:space="preserve"> </w:t>
      </w:r>
    </w:p>
    <w:p w:rsidR="00C866E2" w:rsidRDefault="00C866E2">
      <w:pPr>
        <w:jc w:val="center"/>
        <w:rPr>
          <w:rFonts w:ascii="Abadi MT Condensed Light" w:hAnsi="Abadi MT Condensed Light" w:cs="Abadi MT Condensed Light"/>
          <w:lang w:val="es-CO"/>
        </w:rPr>
      </w:pPr>
    </w:p>
    <w:p w:rsidR="00C866E2" w:rsidRDefault="00C866E2" w:rsidP="00756B7A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Sociedad Comercial por Acciones Simplificada constituida mediante Documento Privado del </w:t>
      </w:r>
      <w:r w:rsidR="00FB5752">
        <w:rPr>
          <w:rFonts w:ascii="Cambria" w:hAnsi="Cambria" w:cs="Cambria"/>
          <w:lang w:val="es-CO"/>
        </w:rPr>
        <w:t>12</w:t>
      </w:r>
      <w:r>
        <w:rPr>
          <w:rFonts w:ascii="Cambria" w:hAnsi="Cambria" w:cs="Cambria"/>
          <w:lang w:val="es-CO"/>
        </w:rPr>
        <w:t xml:space="preserve"> de </w:t>
      </w:r>
      <w:r w:rsidR="00FB5752">
        <w:rPr>
          <w:rFonts w:ascii="Cambria" w:hAnsi="Cambria" w:cs="Cambria"/>
          <w:lang w:val="es-CO"/>
        </w:rPr>
        <w:t>febrero </w:t>
      </w:r>
      <w:r w:rsidR="00BB1968">
        <w:rPr>
          <w:rFonts w:ascii="Cambria" w:hAnsi="Cambria" w:cs="Cambria"/>
          <w:lang w:val="es-CO"/>
        </w:rPr>
        <w:t xml:space="preserve">  de </w:t>
      </w:r>
      <w:r w:rsidR="00FB5752">
        <w:rPr>
          <w:rFonts w:ascii="Cambria" w:hAnsi="Cambria" w:cs="Cambria"/>
          <w:lang w:val="es-CO"/>
        </w:rPr>
        <w:t>1990</w:t>
      </w:r>
      <w:r w:rsidR="00BB1968">
        <w:rPr>
          <w:rFonts w:ascii="Cambria" w:hAnsi="Cambria" w:cs="Cambria"/>
          <w:lang w:val="es-CO"/>
        </w:rPr>
        <w:t xml:space="preserve">, otorgado en </w:t>
      </w:r>
      <w:r w:rsidR="00FB5752">
        <w:rPr>
          <w:rFonts w:ascii="Cambria" w:hAnsi="Cambria" w:cs="Cambria"/>
          <w:lang w:val="es-CO"/>
        </w:rPr>
        <w:t xml:space="preserve"> </w:t>
      </w:r>
      <w:r>
        <w:rPr>
          <w:rFonts w:ascii="Cambria" w:hAnsi="Cambria" w:cs="Cambria"/>
          <w:lang w:val="es-CO"/>
        </w:rPr>
        <w:t xml:space="preserve">, inscrito en el Registro Mercantil el </w:t>
      </w:r>
      <w:r w:rsidR="00FB5752">
        <w:rPr>
          <w:rFonts w:ascii="Cambria" w:hAnsi="Cambria" w:cs="Cambria"/>
          <w:lang w:val="es-CO"/>
        </w:rPr>
        <w:t>12</w:t>
      </w:r>
      <w:r>
        <w:rPr>
          <w:rFonts w:ascii="Cambria" w:hAnsi="Cambria" w:cs="Cambria"/>
          <w:lang w:val="es-CO"/>
        </w:rPr>
        <w:t xml:space="preserve"> de</w:t>
      </w:r>
      <w:r w:rsidR="00FB5752">
        <w:rPr>
          <w:rFonts w:ascii="Cambria" w:hAnsi="Cambria" w:cs="Cambria"/>
          <w:lang w:val="es-CO"/>
        </w:rPr>
        <w:t xml:space="preserve"> marz</w:t>
      </w:r>
      <w:r w:rsidR="00BB1968">
        <w:rPr>
          <w:rFonts w:ascii="Cambria" w:hAnsi="Cambria" w:cs="Cambria"/>
          <w:lang w:val="es-CO"/>
        </w:rPr>
        <w:t xml:space="preserve"> de </w:t>
      </w:r>
      <w:r w:rsidR="00FB5752">
        <w:rPr>
          <w:rFonts w:ascii="Cambria" w:hAnsi="Cambria" w:cs="Cambria"/>
          <w:lang w:val="es-CO"/>
        </w:rPr>
        <w:t>1995 </w:t>
      </w:r>
      <w:r w:rsidR="00BB1968">
        <w:rPr>
          <w:rFonts w:ascii="Cambria" w:hAnsi="Cambria" w:cs="Cambria"/>
          <w:lang w:val="es-CO"/>
        </w:rPr>
        <w:t>con</w:t>
      </w:r>
      <w:r>
        <w:rPr>
          <w:rFonts w:ascii="Cambria" w:hAnsi="Cambria" w:cs="Cambria"/>
          <w:lang w:val="es-CO"/>
        </w:rPr>
        <w:t xml:space="preserve"> el No </w:t>
      </w:r>
      <w:r w:rsidR="00FB5752">
        <w:rPr>
          <w:rFonts w:ascii="Cambria" w:hAnsi="Cambria" w:cs="Cambria"/>
          <w:lang w:val="es-CO"/>
        </w:rPr>
        <w:t>registronum</w:t>
      </w:r>
      <w:r>
        <w:rPr>
          <w:rFonts w:ascii="Cambria" w:hAnsi="Cambria" w:cs="Cambria"/>
          <w:lang w:val="es-CO"/>
        </w:rPr>
        <w:t xml:space="preserve">  bajo la denominación </w:t>
      </w:r>
      <w:r w:rsidR="00FB5752">
        <w:rPr>
          <w:rFonts w:ascii="Cambria" w:hAnsi="Cambria" w:cs="Cambria"/>
          <w:lang w:val="es-CO"/>
        </w:rPr>
        <w:t>empresa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FB5752">
      <w:pPr>
        <w:pStyle w:val="ListParagraph1"/>
        <w:ind w:left="0"/>
        <w:jc w:val="center"/>
      </w:pPr>
      <w:bookmarkStart w:id="2" w:name="__DdeLink__112_1873878764"/>
      <w:bookmarkEnd w:id="2"/>
      <w:r>
        <w:rPr>
          <w:rFonts w:ascii="Cambria" w:hAnsi="Cambria" w:cs="Cambria"/>
          <w:lang w:val="es-CO"/>
        </w:rPr>
        <w:t xml:space="preserve">Que la sociedad </w:t>
      </w:r>
      <w:r w:rsidR="00FB5752">
        <w:rPr>
          <w:rFonts w:ascii="Cambria" w:hAnsi="Cambria" w:cs="Cambria"/>
          <w:lang w:val="es-CO"/>
        </w:rPr>
        <w:t>empresa</w:t>
      </w:r>
      <w:r>
        <w:rPr>
          <w:rFonts w:ascii="Cambria" w:hAnsi="Cambria" w:cs="Cambria"/>
          <w:lang w:val="es-CO"/>
        </w:rPr>
        <w:t xml:space="preserve"> se encuentra domicili</w:t>
      </w:r>
      <w:r w:rsidR="00BB1968">
        <w:rPr>
          <w:rFonts w:ascii="Cambria" w:hAnsi="Cambria" w:cs="Cambria"/>
          <w:lang w:val="es-CO"/>
        </w:rPr>
        <w:t xml:space="preserve">ada en la ciudad de </w:t>
      </w:r>
      <w:r w:rsidR="00FB5752">
        <w:rPr>
          <w:rFonts w:ascii="Cambria" w:hAnsi="Cambria" w:cs="Cambria"/>
          <w:lang w:val="es-CO"/>
        </w:rPr>
        <w:t>montreal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CERTIFICA QUE </w:t>
      </w:r>
    </w:p>
    <w:p w:rsidR="00C866E2" w:rsidRDefault="00FB5752" w:rsidP="00FB5752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>accionista</w:t>
      </w:r>
    </w:p>
    <w:p w:rsidR="00C866E2" w:rsidRDefault="00C866E2" w:rsidP="00AA2C67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Identificado con Cédula de Ciudadanía </w:t>
      </w:r>
      <w:r w:rsidR="00AA2C67">
        <w:rPr>
          <w:rFonts w:ascii="Cambria" w:hAnsi="Cambria" w:cs="Cambria"/>
          <w:lang w:val="es-CO"/>
        </w:rPr>
        <w:t>cedulaaccionista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AA2C67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Es titular de </w:t>
      </w:r>
      <w:r w:rsidR="00AA2C67">
        <w:rPr>
          <w:rFonts w:ascii="Cambria" w:hAnsi="Cambria" w:cs="Cambria"/>
          <w:lang w:val="es-CO"/>
        </w:rPr>
        <w:t>999</w:t>
      </w:r>
      <w:r>
        <w:rPr>
          <w:rFonts w:ascii="Cambria" w:hAnsi="Cambria" w:cs="Cambria"/>
          <w:lang w:val="es-CO"/>
        </w:rPr>
        <w:t xml:space="preserve">  ACCIONES ORDINARIAS DE ESTA SOCIED</w:t>
      </w:r>
      <w:r w:rsidR="00BB1968">
        <w:rPr>
          <w:rFonts w:ascii="Cambria" w:hAnsi="Cambria" w:cs="Cambria"/>
          <w:lang w:val="es-CO"/>
        </w:rPr>
        <w:t xml:space="preserve">AD. Con un valor nominal de  </w:t>
      </w:r>
      <w:r w:rsidR="00AA2C67">
        <w:rPr>
          <w:rFonts w:ascii="Cambria" w:hAnsi="Cambria" w:cs="Cambria"/>
          <w:lang w:val="es-CO"/>
        </w:rPr>
        <w:t>nominal</w:t>
      </w:r>
      <w:r w:rsidR="00BB1968">
        <w:rPr>
          <w:rFonts w:ascii="Cambria" w:hAnsi="Cambria" w:cs="Cambria"/>
          <w:lang w:val="es-CO"/>
        </w:rPr>
        <w:t xml:space="preserve">  Pesos </w:t>
      </w:r>
      <w:r>
        <w:rPr>
          <w:rFonts w:ascii="Cambria" w:hAnsi="Cambria" w:cs="Cambria"/>
          <w:lang w:val="es-CO"/>
        </w:rPr>
        <w:t xml:space="preserve"> CADA UNA.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______________________________________________________________________________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_________________________________________________________________________________________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bookmarkStart w:id="3" w:name="__DdeLink__284_2499685713"/>
      <w:bookmarkEnd w:id="3"/>
      <w:r>
        <w:rPr>
          <w:rFonts w:ascii="Cambria" w:hAnsi="Cambria" w:cs="Cambria"/>
          <w:lang w:val="es-CO"/>
        </w:rPr>
        <w:t>La sociedad se rige por la legislación colombiana según sus estatutos, Código Civil y de Comercio.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___________________________________________</w:t>
      </w:r>
    </w:p>
    <w:p w:rsidR="00C866E2" w:rsidRDefault="00AA2C67" w:rsidP="00AA2C67">
      <w:r>
        <w:rPr>
          <w:rFonts w:ascii="Cambria" w:hAnsi="Cambria" w:cs="Cambria"/>
          <w:color w:val="000000"/>
          <w:sz w:val="24"/>
          <w:szCs w:val="24"/>
          <w:lang w:val="es-CO"/>
        </w:rPr>
        <w:t>Jose Striedinger</w:t>
      </w:r>
    </w:p>
    <w:p w:rsidR="00C866E2" w:rsidRDefault="00C866E2" w:rsidP="00AA2C67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C.C.  </w:t>
      </w:r>
      <w:r w:rsidR="00AA2C67">
        <w:rPr>
          <w:rFonts w:ascii="Cambria" w:hAnsi="Cambria" w:cs="Cambria"/>
          <w:color w:val="000000"/>
          <w:sz w:val="24"/>
          <w:szCs w:val="24"/>
          <w:lang w:val="es-CO"/>
        </w:rPr>
        <w:t>cedulagerente</w:t>
      </w: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Gerente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b) Recibir una parte </w:t>
      </w:r>
      <w:proofErr w:type="spellStart"/>
      <w:r>
        <w:rPr>
          <w:rFonts w:ascii="Cambria" w:hAnsi="Cambria" w:cs="Cambria"/>
          <w:color w:val="000000"/>
          <w:sz w:val="24"/>
          <w:szCs w:val="24"/>
          <w:lang w:val="es-CO"/>
        </w:rPr>
        <w:t>porporcional</w:t>
      </w:r>
      <w:proofErr w:type="spellEnd"/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de los beneficios sociales establecidos en los balances de fin de ejercicio con sujeción a lo dispuesto en la ley, en los estatutos o en Acuerdos de Accionistas registrados en la sociedad.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c) Negociar las acciones con sujeción al derecho de preferencia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d)   Inspeccionar libremente los libros de la sociedad, así como sus estados financieros durante todo el año y en cualquier momento sin interferir en el desarrollo normal de los negocios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 w:rsidP="00B20B7A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Con fecha 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${endoso_date}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>,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 ${cedente_name}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endoso a favor de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 ${cesionario_name} 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identificado con NIT o C.C.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 xml:space="preserve">  ${cesionario_id}  l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a cantidad de </w:t>
      </w:r>
      <w:r w:rsidR="00B20B7A">
        <w:rPr>
          <w:rFonts w:ascii="Cambria" w:hAnsi="Cambria" w:cs="Cambria"/>
          <w:color w:val="000000"/>
          <w:sz w:val="24"/>
          <w:szCs w:val="24"/>
          <w:lang w:val="es-CO"/>
        </w:rPr>
        <w:t>999  </w:t>
      </w:r>
      <w:r>
        <w:rPr>
          <w:rFonts w:ascii="Cambria" w:hAnsi="Cambria" w:cs="Cambria"/>
          <w:color w:val="000000"/>
          <w:sz w:val="24"/>
          <w:szCs w:val="24"/>
          <w:lang w:val="es-CO"/>
        </w:rPr>
        <w:t>acciones nominativas ordinarias.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Firman,                                 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Pr="00BB1968" w:rsidRDefault="00C866E2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eastAsia="Cambria" w:hAnsi="Cambria" w:cs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 w:rsidR="00C866E2" w:rsidRDefault="00C866E2"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>CEDENTE.</w:t>
      </w:r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ab/>
        <w:t xml:space="preserve">                                                                                                                                  CESIONARIO. </w:t>
      </w:r>
    </w:p>
    <w:p w:rsidR="00C866E2" w:rsidRDefault="00C866E2">
      <w:bookmarkStart w:id="4" w:name="__DdeLink__241_24986220911"/>
      <w:bookmarkEnd w:id="4"/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</w:t>
      </w:r>
    </w:p>
    <w:p w:rsidR="00C866E2" w:rsidRDefault="00C866E2" w:rsidP="00B20B7A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lastRenderedPageBreak/>
        <w:t xml:space="preserve">Documento de Identificación No </w:t>
      </w:r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>${cedente_id}</w:t>
      </w:r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                                                Documento de Identificación No</w:t>
      </w:r>
      <w:r w:rsidR="00B20B7A"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${cesionario_id}</w:t>
      </w:r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866E2">
      <w:pgSz w:w="15840" w:h="12240" w:orient="landscape"/>
      <w:pgMar w:top="964" w:right="1134" w:bottom="851" w:left="816" w:header="720" w:footer="720" w:gutter="0"/>
      <w:cols w:space="720"/>
      <w:vAlign w:val="both"/>
      <w:docGrid w:linePitch="249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8"/>
    <w:rsid w:val="00146978"/>
    <w:rsid w:val="00266485"/>
    <w:rsid w:val="00756B7A"/>
    <w:rsid w:val="008866BC"/>
    <w:rsid w:val="00AA2C67"/>
    <w:rsid w:val="00B20B7A"/>
    <w:rsid w:val="00BA752C"/>
    <w:rsid w:val="00BB1968"/>
    <w:rsid w:val="00C866E2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78BD8D0-4A88-4990-BE97-30628467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kern w:val="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rPr>
      <w:sz w:val="20"/>
      <w:szCs w:val="20"/>
      <w:lang w:val="en-US"/>
    </w:rPr>
  </w:style>
  <w:style w:type="character" w:customStyle="1" w:styleId="PiedepginaCar">
    <w:name w:val="Pie de página Car"/>
    <w:rPr>
      <w:sz w:val="20"/>
      <w:szCs w:val="20"/>
      <w:lang w:val="en-US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</vt:vector>
  </TitlesOfParts>
  <Company>Microsoft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  <dc:subject/>
  <dc:creator>DIGITAL CABLE</dc:creator>
  <cp:keywords/>
  <cp:lastModifiedBy>Jose Rafael Striedinger</cp:lastModifiedBy>
  <cp:revision>4</cp:revision>
  <cp:lastPrinted>2016-03-17T20:28:00Z</cp:lastPrinted>
  <dcterms:created xsi:type="dcterms:W3CDTF">2018-03-29T00:22:00Z</dcterms:created>
  <dcterms:modified xsi:type="dcterms:W3CDTF">2018-03-29T22:15:00Z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