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87F" w:rsidRPr="003C587F" w:rsidRDefault="003C587F" w:rsidP="003C587F">
      <w:pPr>
        <w:autoSpaceDE w:val="0"/>
        <w:autoSpaceDN w:val="0"/>
        <w:adjustRightInd w:val="0"/>
        <w:spacing w:after="0" w:line="240" w:lineRule="auto"/>
        <w:rPr>
          <w:rFonts w:ascii="Tms Rmn" w:hAnsi="Tms Rmn"/>
          <w:sz w:val="24"/>
          <w:szCs w:val="24"/>
        </w:rPr>
      </w:pPr>
      <w:bookmarkStart w:id="0" w:name="_GoBack"/>
      <w:bookmarkEnd w:id="0"/>
    </w:p>
    <w:tbl>
      <w:tblPr>
        <w:tblW w:w="5000" w:type="pct"/>
        <w:tblLayout w:type="fixed"/>
        <w:tblCellMar>
          <w:left w:w="0" w:type="dxa"/>
          <w:right w:w="0" w:type="dxa"/>
        </w:tblCellMar>
        <w:tblLook w:val="00BF" w:firstRow="1" w:lastRow="0" w:firstColumn="1" w:lastColumn="0" w:noHBand="0" w:noVBand="0"/>
      </w:tblPr>
      <w:tblGrid>
        <w:gridCol w:w="3836"/>
        <w:gridCol w:w="1589"/>
        <w:gridCol w:w="3413"/>
      </w:tblGrid>
      <w:tr w:rsidR="003C587F" w:rsidRPr="003C587F">
        <w:tc>
          <w:tcPr>
            <w:tcW w:w="2169" w:type="pct"/>
          </w:tcPr>
          <w:p w:rsidR="003C587F" w:rsidRPr="003C587F" w:rsidRDefault="003C587F" w:rsidP="003C587F">
            <w:pPr>
              <w:keepNext/>
              <w:keepLines/>
              <w:autoSpaceDE w:val="0"/>
              <w:autoSpaceDN w:val="0"/>
              <w:adjustRightInd w:val="0"/>
              <w:spacing w:after="0" w:line="240" w:lineRule="auto"/>
              <w:rPr>
                <w:rFonts w:ascii="Tms Rmn" w:hAnsi="Tms Rmn"/>
                <w:sz w:val="24"/>
                <w:szCs w:val="24"/>
              </w:rPr>
            </w:pPr>
            <w:r>
              <w:rPr>
                <w:rFonts w:ascii="Tms Rmn" w:hAnsi="Tms Rmn"/>
                <w:noProof/>
                <w:sz w:val="24"/>
                <w:szCs w:val="24"/>
              </w:rPr>
              <w:drawing>
                <wp:inline distT="0" distB="0" distL="0" distR="0">
                  <wp:extent cx="1752600" cy="6572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52600" cy="657225"/>
                          </a:xfrm>
                          <a:prstGeom prst="rect">
                            <a:avLst/>
                          </a:prstGeom>
                          <a:noFill/>
                          <a:ln w="9525">
                            <a:noFill/>
                            <a:miter lim="800000"/>
                            <a:headEnd/>
                            <a:tailEnd/>
                          </a:ln>
                        </pic:spPr>
                      </pic:pic>
                    </a:graphicData>
                  </a:graphic>
                </wp:inline>
              </w:drawing>
            </w:r>
          </w:p>
        </w:tc>
        <w:tc>
          <w:tcPr>
            <w:tcW w:w="899" w:type="pct"/>
          </w:tcPr>
          <w:p w:rsidR="003C587F" w:rsidRPr="003C587F" w:rsidRDefault="003C587F" w:rsidP="003C587F">
            <w:pPr>
              <w:keepNext/>
              <w:keepLines/>
              <w:autoSpaceDE w:val="0"/>
              <w:autoSpaceDN w:val="0"/>
              <w:adjustRightInd w:val="0"/>
              <w:spacing w:after="0" w:line="240" w:lineRule="auto"/>
              <w:ind w:right="1316"/>
              <w:jc w:val="right"/>
              <w:rPr>
                <w:rFonts w:ascii="Tms Rmn" w:hAnsi="Tms Rmn"/>
                <w:sz w:val="24"/>
                <w:szCs w:val="24"/>
              </w:rPr>
            </w:pPr>
          </w:p>
        </w:tc>
        <w:tc>
          <w:tcPr>
            <w:tcW w:w="1930" w:type="pct"/>
          </w:tcPr>
          <w:p w:rsidR="003C587F" w:rsidRPr="003C587F" w:rsidRDefault="003C587F" w:rsidP="003C587F">
            <w:pPr>
              <w:keepNext/>
              <w:keepLines/>
              <w:autoSpaceDE w:val="0"/>
              <w:autoSpaceDN w:val="0"/>
              <w:adjustRightInd w:val="0"/>
              <w:spacing w:after="0" w:line="240" w:lineRule="auto"/>
              <w:ind w:right="3073"/>
              <w:jc w:val="right"/>
              <w:rPr>
                <w:rFonts w:ascii="Verdana" w:hAnsi="Verdana" w:cs="Verdana"/>
                <w:color w:val="000000"/>
                <w:sz w:val="16"/>
                <w:szCs w:val="16"/>
              </w:rPr>
            </w:pPr>
            <w:r>
              <w:rPr>
                <w:rFonts w:ascii="Tms Rmn" w:hAnsi="Tms Rmn"/>
                <w:noProof/>
                <w:sz w:val="24"/>
                <w:szCs w:val="24"/>
              </w:rPr>
              <w:drawing>
                <wp:inline distT="0" distB="0" distL="0" distR="0">
                  <wp:extent cx="1047750" cy="6572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047750" cy="657225"/>
                          </a:xfrm>
                          <a:prstGeom prst="rect">
                            <a:avLst/>
                          </a:prstGeom>
                          <a:noFill/>
                          <a:ln w="9525">
                            <a:noFill/>
                            <a:miter lim="800000"/>
                            <a:headEnd/>
                            <a:tailEnd/>
                          </a:ln>
                        </pic:spPr>
                      </pic:pic>
                    </a:graphicData>
                  </a:graphic>
                </wp:inline>
              </w:drawing>
            </w:r>
            <w:r w:rsidRPr="003C587F">
              <w:rPr>
                <w:rFonts w:ascii="Verdana" w:hAnsi="Verdana" w:cs="Verdana"/>
                <w:color w:val="000000"/>
                <w:sz w:val="16"/>
                <w:szCs w:val="16"/>
              </w:rPr>
              <w:t xml:space="preserve">   </w:t>
            </w:r>
          </w:p>
        </w:tc>
      </w:tr>
    </w:tbl>
    <w:p w:rsidR="003C587F" w:rsidRPr="003C587F" w:rsidRDefault="003C587F" w:rsidP="003C587F">
      <w:pPr>
        <w:keepLines/>
        <w:tabs>
          <w:tab w:val="left" w:pos="7491"/>
          <w:tab w:val="left" w:pos="11811"/>
        </w:tabs>
        <w:autoSpaceDE w:val="0"/>
        <w:autoSpaceDN w:val="0"/>
        <w:adjustRightInd w:val="0"/>
        <w:spacing w:after="0" w:line="240" w:lineRule="auto"/>
        <w:jc w:val="center"/>
        <w:rPr>
          <w:rFonts w:ascii="Verdana" w:hAnsi="Verdana" w:cs="Verdana"/>
          <w:color w:val="000000"/>
          <w:sz w:val="16"/>
          <w:szCs w:val="16"/>
        </w:rPr>
      </w:pPr>
    </w:p>
    <w:p w:rsidR="003C587F" w:rsidRPr="003C587F" w:rsidRDefault="003C587F" w:rsidP="003C587F">
      <w:pPr>
        <w:keepNext/>
        <w:keepLines/>
        <w:tabs>
          <w:tab w:val="left" w:pos="8946"/>
          <w:tab w:val="left" w:pos="13266"/>
        </w:tabs>
        <w:autoSpaceDE w:val="0"/>
        <w:autoSpaceDN w:val="0"/>
        <w:adjustRightInd w:val="0"/>
        <w:spacing w:after="0" w:line="240" w:lineRule="auto"/>
        <w:jc w:val="both"/>
        <w:rPr>
          <w:rFonts w:ascii="Verdana" w:hAnsi="Verdana" w:cs="Verdana"/>
          <w:color w:val="000000"/>
          <w:sz w:val="16"/>
          <w:szCs w:val="16"/>
        </w:rPr>
      </w:pPr>
    </w:p>
    <w:p w:rsidR="003C587F" w:rsidRPr="003C587F" w:rsidRDefault="003C587F" w:rsidP="003C587F">
      <w:pPr>
        <w:keepNext/>
        <w:keepLines/>
        <w:tabs>
          <w:tab w:val="left" w:pos="6036"/>
          <w:tab w:val="left" w:pos="10356"/>
        </w:tabs>
        <w:autoSpaceDE w:val="0"/>
        <w:autoSpaceDN w:val="0"/>
        <w:adjustRightInd w:val="0"/>
        <w:spacing w:after="0" w:line="240" w:lineRule="auto"/>
        <w:ind w:left="576"/>
        <w:jc w:val="right"/>
        <w:rPr>
          <w:rFonts w:ascii="Century Gothic" w:hAnsi="Century Gothic" w:cs="Century Gothic"/>
          <w:color w:val="000000"/>
          <w:sz w:val="20"/>
          <w:szCs w:val="20"/>
        </w:rPr>
      </w:pPr>
      <w:r w:rsidRPr="003C587F">
        <w:rPr>
          <w:rFonts w:ascii="Century Gothic" w:hAnsi="Century Gothic" w:cs="Century Gothic"/>
          <w:b/>
          <w:bCs/>
          <w:color w:val="000000"/>
          <w:sz w:val="20"/>
          <w:szCs w:val="20"/>
        </w:rPr>
        <w:t xml:space="preserve">Ciudad Universitaria "Rodrigo Facio", </w:t>
      </w:r>
      <w:r w:rsidRPr="003C587F">
        <w:rPr>
          <w:rFonts w:ascii="Century Gothic" w:hAnsi="Century Gothic" w:cs="Century Gothic"/>
          <w:color w:val="000000"/>
          <w:sz w:val="20"/>
          <w:szCs w:val="20"/>
        </w:rPr>
        <w:t>Jueves 7 de marzo de 2013</w:t>
      </w:r>
    </w:p>
    <w:p w:rsidR="003C587F" w:rsidRPr="003C587F" w:rsidRDefault="003C587F" w:rsidP="003C587F">
      <w:pPr>
        <w:keepNext/>
        <w:keepLines/>
        <w:tabs>
          <w:tab w:val="left" w:pos="6036"/>
          <w:tab w:val="left" w:pos="10356"/>
        </w:tabs>
        <w:autoSpaceDE w:val="0"/>
        <w:autoSpaceDN w:val="0"/>
        <w:adjustRightInd w:val="0"/>
        <w:spacing w:after="0" w:line="240" w:lineRule="auto"/>
        <w:ind w:left="576"/>
        <w:jc w:val="right"/>
        <w:rPr>
          <w:rFonts w:ascii="Century Gothic" w:hAnsi="Century Gothic" w:cs="Century Gothic"/>
          <w:b/>
          <w:bCs/>
          <w:color w:val="000000"/>
          <w:sz w:val="20"/>
          <w:szCs w:val="20"/>
        </w:rPr>
      </w:pPr>
      <w:r w:rsidRPr="003C587F">
        <w:rPr>
          <w:rFonts w:ascii="Century Gothic" w:hAnsi="Century Gothic" w:cs="Century Gothic"/>
          <w:b/>
          <w:bCs/>
          <w:color w:val="000000"/>
          <w:sz w:val="20"/>
          <w:szCs w:val="20"/>
        </w:rPr>
        <w:t>ORH-1239-2013</w:t>
      </w:r>
    </w:p>
    <w:p w:rsidR="003C587F" w:rsidRPr="003C587F" w:rsidRDefault="003C587F" w:rsidP="003C587F">
      <w:pPr>
        <w:keepNext/>
        <w:keepLines/>
        <w:tabs>
          <w:tab w:val="left" w:pos="6036"/>
          <w:tab w:val="left" w:pos="10356"/>
        </w:tabs>
        <w:autoSpaceDE w:val="0"/>
        <w:autoSpaceDN w:val="0"/>
        <w:adjustRightInd w:val="0"/>
        <w:spacing w:after="0" w:line="240" w:lineRule="auto"/>
        <w:rPr>
          <w:rFonts w:ascii="Century Gothic" w:hAnsi="Century Gothic" w:cs="Century Gothic"/>
          <w:b/>
          <w:bCs/>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b/>
          <w:bCs/>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Doctora</w:t>
      </w: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Grettchen Flores Sandí</w:t>
      </w: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Decana a.i.</w:t>
      </w: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b/>
          <w:bCs/>
          <w:color w:val="000000"/>
          <w:sz w:val="20"/>
          <w:szCs w:val="20"/>
        </w:rPr>
      </w:pPr>
      <w:r w:rsidRPr="003C587F">
        <w:rPr>
          <w:rFonts w:ascii="Century Gothic" w:hAnsi="Century Gothic" w:cs="Century Gothic"/>
          <w:b/>
          <w:bCs/>
          <w:color w:val="000000"/>
          <w:sz w:val="20"/>
          <w:szCs w:val="20"/>
        </w:rPr>
        <w:t>Facultad de Medicina</w:t>
      </w: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b/>
          <w:bCs/>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Estimada señora:</w:t>
      </w: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En atención a los oficios FM-86-2-2013 y FM-18-8-2013, relacionados con el trámite de la plaza No.  38760 , clase ocupacional Profesional A, por un cuarto de tiempo.</w:t>
      </w: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Me permito informarle que dicha solicitud se encontrará pendiente en esta Oficina hasta que se cuente con el resultado del estudio, elaborado por parte de la Sección de Análisis Administrativo de la Vicerrectoría de Administración.</w:t>
      </w: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Una vez finalizado dicho proceso, y si se cuenta con la aprobación respectiva, se podrá continuar con el trámite de estudio de asignación del puesto.</w:t>
      </w: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 xml:space="preserve">Quedo a su disposición para aclarar cualquier consulta al respecto. </w:t>
      </w: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ind w:left="4320"/>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Atentamente,</w:t>
      </w:r>
    </w:p>
    <w:p w:rsidR="003C587F" w:rsidRPr="003C587F" w:rsidRDefault="003C587F" w:rsidP="003C587F">
      <w:pPr>
        <w:keepNext/>
        <w:keepLines/>
        <w:tabs>
          <w:tab w:val="left" w:pos="6036"/>
          <w:tab w:val="left" w:pos="10356"/>
        </w:tabs>
        <w:autoSpaceDE w:val="0"/>
        <w:autoSpaceDN w:val="0"/>
        <w:adjustRightInd w:val="0"/>
        <w:spacing w:after="0" w:line="240" w:lineRule="auto"/>
        <w:ind w:left="4320"/>
        <w:jc w:val="both"/>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ind w:left="6120"/>
        <w:jc w:val="both"/>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ind w:left="6120"/>
        <w:jc w:val="both"/>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ind w:left="4320"/>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Dr. Carlos Arrieta Salas</w:t>
      </w:r>
    </w:p>
    <w:p w:rsidR="003C587F" w:rsidRPr="003C587F" w:rsidRDefault="003C587F" w:rsidP="003C587F">
      <w:pPr>
        <w:keepNext/>
        <w:keepLines/>
        <w:tabs>
          <w:tab w:val="left" w:pos="6036"/>
          <w:tab w:val="left" w:pos="10356"/>
        </w:tabs>
        <w:autoSpaceDE w:val="0"/>
        <w:autoSpaceDN w:val="0"/>
        <w:adjustRightInd w:val="0"/>
        <w:spacing w:after="0" w:line="240" w:lineRule="auto"/>
        <w:ind w:left="4320"/>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Director, Oficina  de Recursos Humanos</w:t>
      </w:r>
    </w:p>
    <w:p w:rsidR="003C587F" w:rsidRPr="003C587F" w:rsidRDefault="003C587F" w:rsidP="003C587F">
      <w:pPr>
        <w:keepLines/>
        <w:tabs>
          <w:tab w:val="left" w:pos="6036"/>
          <w:tab w:val="left" w:pos="10356"/>
        </w:tabs>
        <w:autoSpaceDE w:val="0"/>
        <w:autoSpaceDN w:val="0"/>
        <w:adjustRightInd w:val="0"/>
        <w:spacing w:after="0" w:line="240" w:lineRule="auto"/>
        <w:ind w:left="3600"/>
        <w:jc w:val="both"/>
        <w:rPr>
          <w:rFonts w:ascii="Century Gothic" w:hAnsi="Century Gothic" w:cs="Century Gothic"/>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ind w:left="3600"/>
        <w:jc w:val="both"/>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rPr>
          <w:rFonts w:ascii="Century Gothic" w:hAnsi="Century Gothic" w:cs="Century Gothic"/>
          <w:color w:val="000000"/>
          <w:sz w:val="20"/>
          <w:szCs w:val="20"/>
        </w:rPr>
      </w:pPr>
    </w:p>
    <w:p w:rsidR="003C587F" w:rsidRPr="003C587F" w:rsidRDefault="003C587F" w:rsidP="003C587F">
      <w:pPr>
        <w:keepLines/>
        <w:tabs>
          <w:tab w:val="left" w:pos="6036"/>
          <w:tab w:val="left" w:pos="10356"/>
        </w:tabs>
        <w:autoSpaceDE w:val="0"/>
        <w:autoSpaceDN w:val="0"/>
        <w:adjustRightInd w:val="0"/>
        <w:spacing w:after="0" w:line="240" w:lineRule="auto"/>
        <w:rPr>
          <w:rFonts w:ascii="Century Gothic" w:hAnsi="Century Gothic" w:cs="Century Gothic"/>
          <w:color w:val="000000"/>
          <w:sz w:val="20"/>
          <w:szCs w:val="20"/>
        </w:rPr>
      </w:pP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r w:rsidRPr="003C587F">
        <w:rPr>
          <w:rFonts w:ascii="Century Gothic" w:hAnsi="Century Gothic" w:cs="Century Gothic"/>
          <w:color w:val="000000"/>
          <w:sz w:val="20"/>
          <w:szCs w:val="20"/>
        </w:rPr>
        <w:t xml:space="preserve">N. Nájera </w:t>
      </w:r>
    </w:p>
    <w:p w:rsidR="003C587F" w:rsidRPr="003C587F" w:rsidRDefault="003C587F" w:rsidP="003C587F">
      <w:pPr>
        <w:keepNext/>
        <w:keepLines/>
        <w:tabs>
          <w:tab w:val="left" w:pos="6036"/>
          <w:tab w:val="left" w:pos="10356"/>
        </w:tabs>
        <w:autoSpaceDE w:val="0"/>
        <w:autoSpaceDN w:val="0"/>
        <w:adjustRightInd w:val="0"/>
        <w:spacing w:after="0" w:line="240" w:lineRule="auto"/>
        <w:jc w:val="both"/>
        <w:rPr>
          <w:rFonts w:ascii="Century Gothic" w:hAnsi="Century Gothic" w:cs="Century Gothic"/>
          <w:color w:val="000000"/>
          <w:sz w:val="20"/>
          <w:szCs w:val="20"/>
        </w:rPr>
      </w:pPr>
    </w:p>
    <w:p w:rsidR="003C587F" w:rsidRPr="003C587F" w:rsidRDefault="003C587F" w:rsidP="003C587F">
      <w:pPr>
        <w:keepNext/>
        <w:keepLines/>
        <w:tabs>
          <w:tab w:val="left" w:pos="7491"/>
          <w:tab w:val="left" w:pos="11811"/>
        </w:tabs>
        <w:autoSpaceDE w:val="0"/>
        <w:autoSpaceDN w:val="0"/>
        <w:adjustRightInd w:val="0"/>
        <w:spacing w:after="0" w:line="240" w:lineRule="auto"/>
        <w:rPr>
          <w:rFonts w:ascii="Century Gothic" w:hAnsi="Century Gothic" w:cs="Century Gothic"/>
          <w:color w:val="000000"/>
          <w:sz w:val="16"/>
          <w:szCs w:val="16"/>
        </w:rPr>
      </w:pPr>
      <w:r w:rsidRPr="003C587F">
        <w:rPr>
          <w:rFonts w:ascii="Century Gothic" w:hAnsi="Century Gothic" w:cs="Century Gothic"/>
          <w:color w:val="000000"/>
          <w:sz w:val="16"/>
          <w:szCs w:val="16"/>
        </w:rPr>
        <w:t>Copia: Sección de Administración de Salarios.</w:t>
      </w:r>
    </w:p>
    <w:p w:rsidR="003C587F" w:rsidRPr="003C587F" w:rsidRDefault="003C587F" w:rsidP="003C587F">
      <w:pPr>
        <w:keepLines/>
        <w:tabs>
          <w:tab w:val="left" w:pos="7491"/>
          <w:tab w:val="left" w:pos="11811"/>
        </w:tabs>
        <w:autoSpaceDE w:val="0"/>
        <w:autoSpaceDN w:val="0"/>
        <w:adjustRightInd w:val="0"/>
        <w:spacing w:after="0" w:line="240" w:lineRule="auto"/>
        <w:rPr>
          <w:rFonts w:ascii="Century Gothic" w:hAnsi="Century Gothic" w:cs="Century Gothic"/>
          <w:color w:val="000000"/>
          <w:sz w:val="16"/>
          <w:szCs w:val="16"/>
        </w:rPr>
      </w:pPr>
    </w:p>
    <w:p w:rsidR="00CF18B8" w:rsidRDefault="00CF18B8"/>
    <w:sectPr w:rsidR="00CF18B8" w:rsidSect="0078498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7F"/>
    <w:rsid w:val="003C587F"/>
    <w:rsid w:val="00CF18B8"/>
    <w:rsid w:val="00E36B7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5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8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5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8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 de Costa Rica</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olga.bermudez</dc:creator>
  <cp:lastModifiedBy>Marcela Porras Calderon</cp:lastModifiedBy>
  <cp:revision>2</cp:revision>
  <dcterms:created xsi:type="dcterms:W3CDTF">2013-04-02T16:03:00Z</dcterms:created>
  <dcterms:modified xsi:type="dcterms:W3CDTF">2013-04-02T16:03:00Z</dcterms:modified>
</cp:coreProperties>
</file>