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300"/>
        <w:jc w:val="center"/>
      </w:pPr>
      <w:r>
        <w:rPr>
          <w:b/>
          <w:bCs/>
          <w:sz w:val="36"/>
          <w:szCs w:val="36"/>
        </w:rPr>
        <w:t xml:space="preserve">Fase 10 — Diseño de Producto y Modelo de Negocio</w:t>
      </w:r>
    </w:p>
    <w:p>
      <w:pPr>
        <w:spacing w:after="60"/>
        <w:jc w:val="center"/>
      </w:pPr>
      <w:r>
        <w:rPr>
          <w:i/>
          <w:iCs/>
        </w:rPr>
        <w:t xml:space="preserve">[NOMBRE DEL INSTRUMENTO] — Nuevo instrumento de evaluación de integridad laboral</w:t>
      </w:r>
    </w:p>
    <w:p>
      <w:pPr>
        <w:spacing w:after="60"/>
        <w:jc w:val="center"/>
      </w:pPr>
      <w:r>
        <w:rPr>
          <w:i/>
          <w:iCs/>
        </w:rPr>
        <w:t xml:space="preserve">Versión 4 — 21 dimensiones / 210 reactivos</w:t>
      </w:r>
    </w:p>
    <w:p>
      <w:pPr>
        <w:spacing w:after="300"/>
        <w:jc w:val="center"/>
      </w:pPr>
      <w:r>
        <w:rPr>
          <w:sz w:val="20"/>
          <w:szCs w:val="20"/>
        </w:rPr>
        <w:t xml:space="preserve">Preparado para: George (jsuasnavas@gmail.com) · Fecha: 9 de septiembre de 2026</w:t>
      </w:r>
    </w:p>
    <w:p>
      <w:pPr>
        <w:spacing w:after="150"/>
      </w:pPr>
      <w:r>
        <w:t xml:space="preserve">Este documento describe el flujo de producto de las dos versiones del instrumento definidas en DECISIONS.md (punto 7): la versión individual gratuita y viral (B2C) y la versión empresarial de pago (B2B), dejando explícito que ambas comparten el mismo motor psicométrico de 21 dimensiones y 210 reactivos (Fases 1-6), y que lo único que cambia entre ellas es la capa de salida (narrativa de perfil vs. reporte de riesgo) y el modelo de monetización, conforme a DECISIONS.md (punto 10). Reemplaza íntegramente las versiones anteriores de la Fase 10.</w:t>
      </w:r>
    </w:p>
    <w:p>
      <w:pPr>
        <w:spacing w:after="150"/>
      </w:pPr>
      <w:r>
        <w:rPr>
          <w:b/>
          <w:bCs/>
        </w:rPr>
        <w:t xml:space="preserve">Convención de evidencia: </w:t>
      </w:r>
      <w:r>
        <w:t xml:space="preserve">[HECHO] = decisión ya aprobada por George en DECISIONS.md · [INFERENCIA] = derivado lógicamente de una decisión aprobada · [HIPÓTESIS] = elección razonable del equipo de diseño, no validada aún empíricamente · [DESCONOCIDO] = pendiente de dato piloto o de decisión comercial/legal de George.</w:t>
      </w:r>
    </w:p>
    <w:p>
      <w:pPr>
        <w:pStyle w:val="Heading1"/>
        <w:spacing w:after="200" w:before="400"/>
      </w:pPr>
      <w:r>
        <w:t xml:space="preserve">1. Un solo motor, dos capas de salida</w:t>
      </w:r>
    </w:p>
    <w:p>
      <w:pPr>
        <w:spacing w:after="150"/>
      </w:pPr>
      <w:r>
        <w:rPr>
          <w:b/>
          <w:bCs/>
        </w:rPr>
        <w:t xml:space="preserve">[HECHO] </w:t>
      </w:r>
      <w:r>
        <w:t xml:space="preserve">DECISIONS.md (punto 10) establece que ambas versiones usan el mismo motor de 21 dimensiones y banco de 210 reactivos; lo que cambia es la capa de salida (narrativa tipo perfil vs. reporte de riesgo para reclutador) y el modelo de monetización, no el instrumento de medición en sí.</w:t>
      </w:r>
    </w:p>
    <w:p>
      <w:pPr>
        <w:spacing w:after="150"/>
      </w:pPr>
      <w:r>
        <w:t xml:space="preserve">En la versión B2B, la batería aplicada a cada puesto sigue la 'Regla de configuración por puesto' de DECISIONS.md: siempre las 5 dimensiones Base, más las dimensiones Adicionales que correspondan al análisis de riesgo de ese puesto específico, más opcionalmente las Factores Contextuales relevantes. En la versión B2C viral, por defecto se aplica la batería de las 5 dimensiones Base (5 × 10 = 50 reactivos, DECISIONS.md punto 14), para mantener el test gratuito corto y viral; la batería completa (21 dimensiones / 210 reactivos) queda reservada para la versión B2B cuando el puesto lo requiera.</w:t>
      </w:r>
    </w:p>
    <w:p>
      <w:pPr>
        <w:spacing w:after="150"/>
      </w:pPr>
      <w:r>
        <w:t xml:space="preserve">En ambos casos, el sistema siempre calcula el mismo IGI (Índice General de Integridad, Fase 6) sobre las dimensiones Núcleo efectivamente incluidas en esa batería — desde la corrección de DECISIONS.md punto 19, ya no existe un índice separado 'IIC': el IGI es, en sí mismo, el único número reportado en ambas capas. Lo que difiere después del cálculo es exclusivamente la 'capa de presentación': qué se muestra, con qué nivel de detalle técnico, en qué tono, y detrás de qué muro de pago.</w:t>
      </w:r>
    </w:p>
    <w:p>
      <w:pPr>
        <w:pStyle w:val="Heading1"/>
        <w:spacing w:after="200" w:before="400"/>
      </w:pPr>
      <w:r>
        <w:t xml:space="preserve">2. Flujo de producto B2C (individual, gratuito y viral)</w:t>
      </w:r>
    </w:p>
    <w:p>
      <w:pPr>
        <w:pStyle w:val="Heading2"/>
        <w:spacing w:after="130" w:before="250"/>
      </w:pPr>
      <w:r>
        <w:t xml:space="preserve">2.1 Entrada</w:t>
      </w:r>
    </w:p>
    <w:p>
      <w:pPr>
        <w:pStyle w:val="ListParagraph"/>
        <w:numPr>
          <w:ilvl w:val="0"/>
          <w:numId w:val="1"/>
        </w:numPr>
        <w:spacing w:after="100"/>
      </w:pPr>
      <w:r>
        <w:t xml:space="preserve">Landing page de bajo compromiso, inspirada conceptualmente en el formato de test de personalidad viral (referencia: 16personalities.com), con encuadre de autoconocimiento ('Descubre tu perfil de integridad') en vez de encuadre de evaluación de riesgo.</w:t>
      </w:r>
    </w:p>
    <w:p>
      <w:pPr>
        <w:pStyle w:val="ListParagraph"/>
        <w:numPr>
          <w:ilvl w:val="0"/>
          <w:numId w:val="1"/>
        </w:numPr>
        <w:spacing w:after="100"/>
      </w:pPr>
      <w:r>
        <w:t xml:space="preserve">Sin registro obligatorio antes de empezar el test (fricción mínima); registro opcional solo para guardar el resultado o desbloquear el reporte premium (Sección 2.5).</w:t>
      </w:r>
    </w:p>
    <w:p>
      <w:pPr>
        <w:pStyle w:val="ListParagraph"/>
        <w:numPr>
          <w:ilvl w:val="0"/>
          <w:numId w:val="1"/>
        </w:numPr>
        <w:spacing w:after="100"/>
      </w:pPr>
      <w:r>
        <w:t xml:space="preserve">Variables demográficas de la Fase 8 (Sección 5.4) presentadas como opcionales, con lenguaje que explica brevemente por qué se piden (mejorar el instrumento), nunca como requisito para ver el resultado.</w:t>
      </w:r>
    </w:p>
    <w:p>
      <w:pPr>
        <w:pStyle w:val="Heading2"/>
        <w:spacing w:after="130" w:before="250"/>
      </w:pPr>
      <w:r>
        <w:t xml:space="preserve">2.2 Toma del test</w:t>
      </w:r>
    </w:p>
    <w:p>
      <w:pPr>
        <w:spacing w:after="150"/>
      </w:pPr>
      <w:r>
        <w:rPr>
          <w:b/>
          <w:bCs/>
        </w:rPr>
        <w:t xml:space="preserve">[HIPÓTESIS] </w:t>
      </w:r>
      <w:r>
        <w:t xml:space="preserve"> Los 50 reactivos de la batería gratuita (5 dimensiones Base × 10) se presentan en un flujo de una pregunta a la vez (o pequeños bloques), con una barra de progreso, en un tiempo estimado de 12-18 minutos. El orden de presentación debe alternar dimensiones (no agrupar los 10 reactivos de una misma dimensión consecutivamente) para reducir el riesgo de que la persona identifique el patrón de un par espejo y ajuste sus respuestas de forma estratégica, protegiendo así la sensibilidad del indicador de validez de Contradicción (Fase 2, Sección 5.4). Una batería B2B completa (21 dimensiones / 210 reactivos) toma proporcionalmente más tiempo, estimado en 45-65 minutos.</w:t>
      </w:r>
    </w:p>
    <w:p>
      <w:pPr>
        <w:pStyle w:val="Heading2"/>
        <w:spacing w:after="130" w:before="250"/>
      </w:pPr>
      <w:r>
        <w:t xml:space="preserve">2.3 Resultado gratuito: 'Perfil de Integridad'</w:t>
      </w:r>
    </w:p>
    <w:p>
      <w:pPr>
        <w:pStyle w:val="ListParagraph"/>
        <w:numPr>
          <w:ilvl w:val="0"/>
          <w:numId w:val="1"/>
        </w:numPr>
        <w:spacing w:after="100"/>
      </w:pPr>
      <w:r>
        <w:t xml:space="preserve">Encabezado con el IGI (Índice General de Integridad, ya orientado a integridad —más alto es mejor—, Fase 6 Sección 7) en lenguaje de fortaleza, no de riesgo: por ejemplo, 'Tu Índice General de Integridad: 76/95'.</w:t>
      </w:r>
    </w:p>
    <w:p>
      <w:pPr>
        <w:pStyle w:val="ListParagraph"/>
        <w:numPr>
          <w:ilvl w:val="0"/>
          <w:numId w:val="1"/>
        </w:numPr>
        <w:spacing w:after="100"/>
      </w:pPr>
      <w:r>
        <w:t xml:space="preserve">Un arquetipo o etiqueta de perfil, [HIPÓTESIS] construido combinando las 2-3 dimensiones Núcleo (Base o Adicional) con mejor puntaje de la persona; estas etiquetas deben diseñarse con cuidado editorial para que resulten favorecedoras y compartibles en la mayoría de los casos, evitando etiquetas que se perciban como negativas o estigmatizantes, dado el uso viral del producto.</w:t>
      </w:r>
    </w:p>
    <w:p>
      <w:pPr>
        <w:pStyle w:val="ListParagraph"/>
        <w:numPr>
          <w:ilvl w:val="0"/>
          <w:numId w:val="1"/>
        </w:numPr>
        <w:spacing w:after="100"/>
      </w:pPr>
      <w:r>
        <w:t xml:space="preserve">Un desglose breve y en tono constructivo de 3-4 dimensiones (sin usar los 21 nombres técnicos completos; ver Sección 2.5 sobre nomenclatura pública), mostrando fortalezas primero y como máximo 1-2 'áreas de oportunidad' formuladas de forma no punitiva.</w:t>
      </w:r>
    </w:p>
    <w:p>
      <w:pPr>
        <w:pStyle w:val="ListParagraph"/>
        <w:numPr>
          <w:ilvl w:val="0"/>
          <w:numId w:val="1"/>
        </w:numPr>
        <w:spacing w:after="100"/>
      </w:pPr>
      <w:r>
        <w:t xml:space="preserve">Nota de transparencia sobre invalidación parcial (cuando aplique, ver Fase 6 Sección 8 y el ejemplo de la Fase 7): mensaje breve y neutral, sin tecnicismos, invitando a revisar o repetir esa sección.</w:t>
      </w:r>
    </w:p>
    <w:p>
      <w:pPr>
        <w:pStyle w:val="Heading2"/>
        <w:spacing w:after="130" w:before="250"/>
      </w:pPr>
      <w:r>
        <w:t xml:space="preserve">2.4 Mecánica de viralidad</w:t>
      </w:r>
    </w:p>
    <w:p>
      <w:pPr>
        <w:pStyle w:val="ListParagraph"/>
        <w:numPr>
          <w:ilvl w:val="0"/>
          <w:numId w:val="1"/>
        </w:numPr>
        <w:spacing w:after="100"/>
      </w:pPr>
      <w:r>
        <w:t xml:space="preserve">Tarjeta de resultado diseñada para compartir en redes sociales (imagen con el arquetipo, el puntaje y el nombre del producto), en el mismo espíritu que los resultados compartibles de 16personalities.</w:t>
      </w:r>
    </w:p>
    <w:p>
      <w:pPr>
        <w:pStyle w:val="ListParagraph"/>
        <w:numPr>
          <w:ilvl w:val="0"/>
          <w:numId w:val="1"/>
        </w:numPr>
        <w:spacing w:after="100"/>
      </w:pPr>
      <w:r>
        <w:t xml:space="preserve">Invitación a comparar el resultado con amigos o contactos que también hayan tomado el test (mecánica de referido), y opcionalmente una versión de 'reto': invitar a alguien a tomar el test y comparar arquetipos.</w:t>
      </w:r>
    </w:p>
    <w:p>
      <w:pPr>
        <w:pStyle w:val="ListParagraph"/>
        <w:numPr>
          <w:ilvl w:val="0"/>
          <w:numId w:val="1"/>
        </w:numPr>
        <w:spacing w:after="100"/>
      </w:pPr>
      <w:r>
        <w:t xml:space="preserve">[HIPÓTESIS] Un ciclo de retención ligero: notificación opcional para repetir el test cada cierto tiempo (por ejemplo, cada 6-12 meses) y ver si el perfil cambió, aprovechando además esos datos repetidos como fuente longitudinal para la Fase 9.</w:t>
      </w:r>
    </w:p>
    <w:p>
      <w:pPr>
        <w:pStyle w:val="Heading2"/>
        <w:spacing w:after="130" w:before="250"/>
      </w:pPr>
      <w:r>
        <w:t xml:space="preserve">2.5 Gancho de upsell al reporte premium (freemium)</w:t>
      </w:r>
    </w:p>
    <w:p>
      <w:pPr>
        <w:pStyle w:val="ListParagraph"/>
        <w:numPr>
          <w:ilvl w:val="0"/>
          <w:numId w:val="1"/>
        </w:numPr>
        <w:spacing w:after="100"/>
      </w:pPr>
      <w:r>
        <w:t xml:space="preserve">Reporte premium de pago (autoconocimiento extendido): desglose completo de las 21 dimensiones (con nombres más accesibles al público general que los nombres técnicos usados en este proyecto, a definir en una fase de naming de producto), comparación normativa una vez existan datos piloto (Fase 8), seguimiento histórico si la persona repite el test, y contenido educativo asociado a sus dimensiones más bajas.</w:t>
      </w:r>
    </w:p>
    <w:p>
      <w:pPr>
        <w:pStyle w:val="ListParagraph"/>
        <w:numPr>
          <w:ilvl w:val="0"/>
          <w:numId w:val="1"/>
        </w:numPr>
        <w:spacing w:after="100"/>
      </w:pPr>
      <w:r>
        <w:t xml:space="preserve">[DESCONOCIDO] El precio exacto del reporte premium individual es una decisión comercial de George, no psicométrica; este documento no propone una cifra. Se sugiere únicamente el patrón freemium estándar (resultado básico siempre gratuito, upsell de profundidad y seguimiento), conforme a DECISIONS.md punto 9.</w:t>
      </w:r>
    </w:p>
    <w:p>
      <w:pPr>
        <w:pStyle w:val="Heading1"/>
        <w:spacing w:after="200" w:before="400"/>
      </w:pPr>
      <w:r>
        <w:t xml:space="preserve">3. Flujo de producto B2B (empresarial, de pago)</w:t>
      </w:r>
    </w:p>
    <w:p>
      <w:pPr>
        <w:pStyle w:val="Heading2"/>
        <w:spacing w:after="130" w:before="250"/>
      </w:pPr>
      <w:r>
        <w:t xml:space="preserve">3.1 Flujo de venta</w:t>
      </w:r>
    </w:p>
    <w:p>
      <w:pPr>
        <w:pStyle w:val="ListParagraph"/>
        <w:numPr>
          <w:ilvl w:val="0"/>
          <w:numId w:val="1"/>
        </w:numPr>
        <w:spacing w:after="100"/>
      </w:pPr>
      <w:r>
        <w:t xml:space="preserve">Canal 1 — de abajo hacia arriba (product-led): empleados o reclutadores que probaron la versión individual en su vida personal reconocen el producto y lo proponen dentro de su organización; el equipo comercial de George hace seguimiento a estas señales de interés (por ejemplo, mediante un formulario de contacto 'Llévalo a tu empresa' visible desde la capa B2C).</w:t>
      </w:r>
    </w:p>
    <w:p>
      <w:pPr>
        <w:pStyle w:val="ListParagraph"/>
        <w:numPr>
          <w:ilvl w:val="0"/>
          <w:numId w:val="1"/>
        </w:numPr>
        <w:spacing w:after="100"/>
      </w:pPr>
      <w:r>
        <w:t xml:space="preserve">Canal 2 — venta directa tradicional: prospección activa a equipos de Recursos Humanos y Seguridad Corporativa en sectores con alta necesidad de control de integridad (retail, banca, logística, manejo de efectivo o inventario), ofreciendo el instrumento como complemento a procesos de selección ya existentes, no como sustituto de una entrevista o de una verificación de antecedentes.</w:t>
      </w:r>
    </w:p>
    <w:p>
      <w:pPr>
        <w:pStyle w:val="ListParagraph"/>
        <w:numPr>
          <w:ilvl w:val="0"/>
          <w:numId w:val="1"/>
        </w:numPr>
        <w:spacing w:after="100"/>
      </w:pPr>
      <w:r>
        <w:t xml:space="preserve">[INFERENCIA] Dado que el instrumento aún no cuenta con validación empírica (Fase 9 pendiente de datos piloto), la fase comercial inicial debe posicionarse explícitamente como 'programa piloto' o 'early access' con condiciones preferenciales, alineado con el propio plan de recolección de datos de la Fase 8.</w:t>
      </w:r>
    </w:p>
    <w:p>
      <w:pPr>
        <w:pStyle w:val="ListParagraph"/>
        <w:numPr>
          <w:ilvl w:val="0"/>
          <w:numId w:val="1"/>
        </w:numPr>
        <w:spacing w:after="100"/>
      </w:pPr>
      <w:r>
        <w:t xml:space="preserve">[HECHO] El equipo comercial de George trabaja con el área de Recursos Humanos de la empresa cliente como contacto principal del proceso de venta, conforme al perfil de negocio ya conocido de George.</w:t>
      </w:r>
    </w:p>
    <w:p>
      <w:pPr>
        <w:pStyle w:val="Heading2"/>
        <w:spacing w:after="130" w:before="250"/>
      </w:pPr>
      <w:r>
        <w:t xml:space="preserve">3.2 Configuración de la batería y toma del test en contexto de selección</w:t>
      </w:r>
    </w:p>
    <w:p>
      <w:pPr>
        <w:pStyle w:val="ListParagraph"/>
        <w:numPr>
          <w:ilvl w:val="0"/>
          <w:numId w:val="1"/>
        </w:numPr>
        <w:spacing w:after="100"/>
      </w:pPr>
      <w:r>
        <w:t xml:space="preserve">Antes de cada proceso de selección, el equipo de Recursos Humanos de la empresa cliente (con apoyo del equipo de George) configura la batería del puesto siguiendo la 'Regla de configuración por puesto' de DECISIONS.md: las 5 dimensiones Base siempre incluidas, más las dimensiones Adicionales relevantes (análisis de 'probabilidad × impacto' por puesto), más opcionalmente Factores Contextuales.</w:t>
      </w:r>
    </w:p>
    <w:p>
      <w:pPr>
        <w:pStyle w:val="ListParagraph"/>
        <w:numPr>
          <w:ilvl w:val="0"/>
          <w:numId w:val="1"/>
        </w:numPr>
        <w:spacing w:after="100"/>
      </w:pPr>
      <w:r>
        <w:t xml:space="preserve">Consentimiento informado específico para el contexto de evaluación laboral (distinto, más formal, que el consentimiento de investigación de la Fase 8), que debe ser revisado por asesoría legal laboral y de protección de datos antes del lanzamiento comercial — [DESCONOCIDO], fuera del alcance psicométrico de este proyecto.</w:t>
      </w:r>
    </w:p>
    <w:p>
      <w:pPr>
        <w:pStyle w:val="ListParagraph"/>
        <w:numPr>
          <w:ilvl w:val="0"/>
          <w:numId w:val="1"/>
        </w:numPr>
        <w:spacing w:after="100"/>
      </w:pPr>
      <w:r>
        <w:t xml:space="preserve">[DESCONOCIDO] El cumplimiento de normativa local de cada mercado (por ejemplo, restricciones sobre pruebas psicológicas en procesos de selección) debe validarse país por país antes de vender el producto en ese mercado; este documento no sustituye esa revisión legal.</w:t>
      </w:r>
    </w:p>
    <w:p>
      <w:pPr>
        <w:pStyle w:val="Heading2"/>
        <w:spacing w:after="130" w:before="250"/>
      </w:pPr>
      <w:r>
        <w:t xml:space="preserve">3.3 Reporte de riesgo para el reclutador</w:t>
      </w:r>
    </w:p>
    <w:p>
      <w:pPr>
        <w:pStyle w:val="ListParagraph"/>
        <w:numPr>
          <w:ilvl w:val="0"/>
          <w:numId w:val="1"/>
        </w:numPr>
        <w:spacing w:after="100"/>
      </w:pPr>
      <w:r>
        <w:t xml:space="preserve">Formato de salida similar al ejemplo de la Fase 7 (Secciones 6-7): IGI en escala 0-100 con categorización de riesgo (una vez existan puntos de corte validados según la Fase 9), desglose por las dimensiones Núcleo efectivamente incluidas en la batería del puesto y, de forma separada, las dimensiones Contextuales seleccionadas como factores de contexto/vulnerabilidad, dimensiones marcadas como no concluyentes por los indicadores de validez, y comparación normativa segmentada por industria cuando exista (Fase 8, Sección 2.3).</w:t>
      </w:r>
    </w:p>
    <w:p>
      <w:pPr>
        <w:pStyle w:val="ListParagraph"/>
        <w:numPr>
          <w:ilvl w:val="0"/>
          <w:numId w:val="1"/>
        </w:numPr>
        <w:spacing w:after="100"/>
      </w:pPr>
      <w:r>
        <w:t xml:space="preserve">[HECHO] El reporte debe incluir siempre una nota de uso responsable: el instrumento es un apoyo a la decisión de selección o gestión de personal, no un sustituto de la entrevista, la verificación de antecedentes ni el criterio profesional del equipo de Recursos Humanos, y sus tasas de error (falsos positivos/negativos) aún no están cuantificadas hasta completar la Fase 9.</w:t>
      </w:r>
    </w:p>
    <w:p>
      <w:pPr>
        <w:pStyle w:val="ListParagraph"/>
        <w:numPr>
          <w:ilvl w:val="0"/>
          <w:numId w:val="1"/>
        </w:numPr>
        <w:spacing w:after="100"/>
      </w:pPr>
      <w:r>
        <w:t xml:space="preserve">Panel o dashboard para equipos de Recursos Humanos con múltiples candidatos evaluados, filtros por vacante o proceso (incluyendo qué batería/configuración de dimensiones se usó en cada proceso), y exportación del reporte individual (por ejemplo, a PDF).</w:t>
      </w:r>
    </w:p>
    <w:p>
      <w:pPr>
        <w:pStyle w:val="Heading2"/>
        <w:spacing w:after="130" w:before="250"/>
      </w:pPr>
      <w:r>
        <w:t xml:space="preserve">3.4 Niveles de precio conceptuales</w:t>
      </w:r>
    </w:p>
    <w:p>
      <w:pPr>
        <w:spacing w:after="150"/>
      </w:pPr>
      <w:r>
        <w:rPr>
          <w:b/>
          <w:bCs/>
        </w:rPr>
        <w:t xml:space="preserve">[DESCONOCIDO] </w:t>
      </w:r>
      <w:r>
        <w:t xml:space="preserve"> Ningún valor monetario de esta sección es una cifra real de precio; son niveles conceptuales de servicio a definir comercialmente por George. Se presentan únicamente como estructura de paquetes, no como tarifario.</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400"/>
        <w:gridCol w:w="5500"/>
        <w:gridCol w:w="2500"/>
      </w:tblGrid>
      <w:tr>
        <w:tc>
          <w:tcPr>
            <w:tcW w:type="dxa" w:w="2400"/>
            <w:shd w:fill="D9D9D9" w:val="clear"/>
          </w:tcPr>
          <w:p>
            <w:r>
              <w:rPr>
                <w:b/>
                <w:bCs/>
              </w:rPr>
              <w:t xml:space="preserve">Nivel</w:t>
            </w:r>
          </w:p>
        </w:tc>
        <w:tc>
          <w:tcPr>
            <w:tcW w:type="dxa" w:w="5500"/>
            <w:shd w:fill="D9D9D9" w:val="clear"/>
          </w:tcPr>
          <w:p>
            <w:r>
              <w:rPr>
                <w:b/>
                <w:bCs/>
              </w:rPr>
              <w:t xml:space="preserve">Alcance conceptual</w:t>
            </w:r>
          </w:p>
        </w:tc>
        <w:tc>
          <w:tcPr>
            <w:tcW w:type="dxa" w:w="2500"/>
            <w:shd w:fill="D9D9D9" w:val="clear"/>
          </w:tcPr>
          <w:p>
            <w:r>
              <w:rPr>
                <w:b/>
                <w:bCs/>
              </w:rPr>
              <w:t xml:space="preserve">Comprador típico</w:t>
            </w:r>
          </w:p>
        </w:tc>
      </w:tr>
      <w:tr>
        <w:tc>
          <w:tcPr>
            <w:tcW w:type="dxa" w:w="2400"/>
          </w:tcPr>
          <w:p>
            <w:r>
              <w:rPr>
                <w:b w:val="false"/>
                <w:bCs w:val="false"/>
              </w:rPr>
              <w:t xml:space="preserve">Starter / por evaluación</w:t>
            </w:r>
          </w:p>
        </w:tc>
        <w:tc>
          <w:tcPr>
            <w:tcW w:type="dxa" w:w="5500"/>
          </w:tcPr>
          <w:p>
            <w:r>
              <w:rPr>
                <w:b w:val="false"/>
                <w:bCs w:val="false"/>
              </w:rPr>
              <w:t xml:space="preserve">Pago por cada aplicación individual del test en contexto de selección, con la batería Base + Adicionales del puesto, sin dashboard ni integración; ideal para validar el producto con bajo volumen.</w:t>
            </w:r>
          </w:p>
        </w:tc>
        <w:tc>
          <w:tcPr>
            <w:tcW w:type="dxa" w:w="2500"/>
          </w:tcPr>
          <w:p>
            <w:r>
              <w:rPr>
                <w:b w:val="false"/>
                <w:bCs w:val="false"/>
              </w:rPr>
              <w:t xml:space="preserve">PyME o equipo de RR.HH. pequeño, clientes del programa piloto (Fase 8).</w:t>
            </w:r>
          </w:p>
        </w:tc>
      </w:tr>
      <w:tr>
        <w:tc>
          <w:tcPr>
            <w:tcW w:type="dxa" w:w="2400"/>
          </w:tcPr>
          <w:p>
            <w:r>
              <w:rPr>
                <w:b w:val="false"/>
                <w:bCs w:val="false"/>
              </w:rPr>
              <w:t xml:space="preserve">Team / suscripción</w:t>
            </w:r>
          </w:p>
        </w:tc>
        <w:tc>
          <w:tcPr>
            <w:tcW w:type="dxa" w:w="5500"/>
          </w:tcPr>
          <w:p>
            <w:r>
              <w:rPr>
                <w:b w:val="false"/>
                <w:bCs w:val="false"/>
              </w:rPr>
              <w:t xml:space="preserve">Suscripción mensual o anual con un número incluido de evaluaciones, acceso al dashboard de la Sección 3.3, comparación normativa por industria cuando exista.</w:t>
            </w:r>
          </w:p>
        </w:tc>
        <w:tc>
          <w:tcPr>
            <w:tcW w:type="dxa" w:w="2500"/>
          </w:tcPr>
          <w:p>
            <w:r>
              <w:rPr>
                <w:b w:val="false"/>
                <w:bCs w:val="false"/>
              </w:rPr>
              <w:t xml:space="preserve">Empresas medianas con procesos de selección recurrentes.</w:t>
            </w:r>
          </w:p>
        </w:tc>
      </w:tr>
      <w:tr>
        <w:tc>
          <w:tcPr>
            <w:tcW w:type="dxa" w:w="2400"/>
          </w:tcPr>
          <w:p>
            <w:r>
              <w:rPr>
                <w:b w:val="false"/>
                <w:bCs w:val="false"/>
              </w:rPr>
              <w:t xml:space="preserve">Enterprise / a medida</w:t>
            </w:r>
          </w:p>
        </w:tc>
        <w:tc>
          <w:tcPr>
            <w:tcW w:type="dxa" w:w="5500"/>
          </w:tcPr>
          <w:p>
            <w:r>
              <w:rPr>
                <w:b w:val="false"/>
                <w:bCs w:val="false"/>
              </w:rPr>
              <w:t xml:space="preserve">Volumen alto, integración vía API con el sistema de reclutamiento (ATS) del cliente, configuración de baterías por puesto administrada por el cliente, soporte dedicado, acuerdos de nivel de servicio.</w:t>
            </w:r>
          </w:p>
        </w:tc>
        <w:tc>
          <w:tcPr>
            <w:tcW w:type="dxa" w:w="2500"/>
          </w:tcPr>
          <w:p>
            <w:r>
              <w:rPr>
                <w:b w:val="false"/>
                <w:bCs w:val="false"/>
              </w:rPr>
              <w:t xml:space="preserve">Grandes empresas o sectores con alta rotación/alto riesgo (retail, banca, logística).</w:t>
            </w:r>
          </w:p>
        </w:tc>
      </w:tr>
    </w:tbl>
    <w:p>
      <w:pPr>
        <w:spacing w:after="150"/>
      </w:pPr>
    </w:p>
    <w:p>
      <w:pPr>
        <w:spacing w:after="150"/>
      </w:pPr>
      <w:r>
        <w:rPr>
          <w:b/>
          <w:bCs/>
        </w:rPr>
        <w:t xml:space="preserve">[INFERENCIA] </w:t>
      </w:r>
      <w:r>
        <w:t xml:space="preserve"> Esta estructura de 3 niveles replica un patrón estándar de SaaS B2B, adaptado a que este instrumento inicia sin validación empírica todavía: se recomienda que el nivel Enterprise, en particular, no se ofrezca de forma agresiva hasta contar con resultados de la Fase 9.</w:t>
      </w:r>
    </w:p>
    <w:p>
      <w:pPr>
        <w:pStyle w:val="Heading1"/>
        <w:spacing w:after="200" w:before="400"/>
      </w:pPr>
      <w:r>
        <w:t xml:space="preserve">4. Resumen de diferencias entre capas (mismo motor, distinta salida)</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3600"/>
      </w:tblGrid>
      <w:tr>
        <w:tc>
          <w:tcPr>
            <w:tcW w:type="dxa" w:w="2600"/>
            <w:shd w:fill="D9D9D9" w:val="clear"/>
          </w:tcPr>
          <w:p>
            <w:r>
              <w:rPr>
                <w:b/>
                <w:bCs/>
              </w:rPr>
              <w:t xml:space="preserve">Elemento</w:t>
            </w:r>
          </w:p>
        </w:tc>
        <w:tc>
          <w:tcPr>
            <w:tcW w:type="dxa" w:w="4200"/>
            <w:shd w:fill="D9D9D9" w:val="clear"/>
          </w:tcPr>
          <w:p>
            <w:r>
              <w:rPr>
                <w:b/>
                <w:bCs/>
              </w:rPr>
              <w:t xml:space="preserve">Capa B2C (individual)</w:t>
            </w:r>
          </w:p>
        </w:tc>
        <w:tc>
          <w:tcPr>
            <w:tcW w:type="dxa" w:w="3600"/>
            <w:shd w:fill="D9D9D9" w:val="clear"/>
          </w:tcPr>
          <w:p>
            <w:r>
              <w:rPr>
                <w:b/>
                <w:bCs/>
              </w:rPr>
              <w:t xml:space="preserve">Capa B2B (empresarial)</w:t>
            </w:r>
          </w:p>
        </w:tc>
      </w:tr>
      <w:tr>
        <w:tc>
          <w:tcPr>
            <w:tcW w:type="dxa" w:w="2600"/>
          </w:tcPr>
          <w:p>
            <w:r>
              <w:rPr>
                <w:b w:val="false"/>
                <w:bCs w:val="false"/>
              </w:rPr>
              <w:t xml:space="preserve">Motor psicométrico</w:t>
            </w:r>
          </w:p>
        </w:tc>
        <w:tc>
          <w:tcPr>
            <w:tcW w:type="dxa" w:w="4200"/>
          </w:tcPr>
          <w:p>
            <w:r>
              <w:rPr>
                <w:b w:val="false"/>
                <w:bCs w:val="false"/>
              </w:rPr>
              <w:t xml:space="preserve">Mismo: hasta 21 dimensiones, hasta 210 reactivos, IGI (Fases 1-6); por defecto solo las 5 Base (50 reactivos).</w:t>
            </w:r>
          </w:p>
        </w:tc>
        <w:tc>
          <w:tcPr>
            <w:tcW w:type="dxa" w:w="3600"/>
          </w:tcPr>
          <w:p>
            <w:r>
              <w:rPr>
                <w:b w:val="false"/>
                <w:bCs w:val="false"/>
              </w:rPr>
              <w:t xml:space="preserve">Mismo motor; batería configurada por puesto (Base + Adicionales seleccionadas + Contextuales opcionales).</w:t>
            </w:r>
          </w:p>
        </w:tc>
      </w:tr>
      <w:tr>
        <w:tc>
          <w:tcPr>
            <w:tcW w:type="dxa" w:w="2600"/>
          </w:tcPr>
          <w:p>
            <w:r>
              <w:rPr>
                <w:b w:val="false"/>
                <w:bCs w:val="false"/>
              </w:rPr>
              <w:t xml:space="preserve">Puntaje mostrado</w:t>
            </w:r>
          </w:p>
        </w:tc>
        <w:tc>
          <w:tcPr>
            <w:tcW w:type="dxa" w:w="4200"/>
          </w:tcPr>
          <w:p>
            <w:r>
              <w:rPr>
                <w:b w:val="false"/>
                <w:bCs w:val="false"/>
              </w:rPr>
              <w:t xml:space="preserve">IGI (Índice General de Integridad, más alto = mejor)</w:t>
            </w:r>
          </w:p>
        </w:tc>
        <w:tc>
          <w:tcPr>
            <w:tcW w:type="dxa" w:w="3600"/>
          </w:tcPr>
          <w:p>
            <w:r>
              <w:rPr>
                <w:b w:val="false"/>
                <w:bCs w:val="false"/>
              </w:rPr>
              <w:t xml:space="preserve">El mismo IGI, mismo número y misma fórmula (DECISIONS.md punto 19)</w:t>
            </w:r>
          </w:p>
        </w:tc>
      </w:tr>
      <w:tr>
        <w:tc>
          <w:tcPr>
            <w:tcW w:type="dxa" w:w="2600"/>
          </w:tcPr>
          <w:p>
            <w:r>
              <w:rPr>
                <w:b w:val="false"/>
                <w:bCs w:val="false"/>
              </w:rPr>
              <w:t xml:space="preserve">Tono</w:t>
            </w:r>
          </w:p>
        </w:tc>
        <w:tc>
          <w:tcPr>
            <w:tcW w:type="dxa" w:w="4200"/>
          </w:tcPr>
          <w:p>
            <w:r>
              <w:rPr>
                <w:b w:val="false"/>
                <w:bCs w:val="false"/>
              </w:rPr>
              <w:t xml:space="preserve">Autoconocimiento, compartible, no punitivo</w:t>
            </w:r>
          </w:p>
        </w:tc>
        <w:tc>
          <w:tcPr>
            <w:tcW w:type="dxa" w:w="3600"/>
          </w:tcPr>
          <w:p>
            <w:r>
              <w:rPr>
                <w:b w:val="false"/>
                <w:bCs w:val="false"/>
              </w:rPr>
              <w:t xml:space="preserve">Riesgo laboral, apoyo a decisión de selección/gestión</w:t>
            </w:r>
          </w:p>
        </w:tc>
      </w:tr>
      <w:tr>
        <w:tc>
          <w:tcPr>
            <w:tcW w:type="dxa" w:w="2600"/>
          </w:tcPr>
          <w:p>
            <w:r>
              <w:rPr>
                <w:b w:val="false"/>
                <w:bCs w:val="false"/>
              </w:rPr>
              <w:t xml:space="preserve">Nivel de detalle técnico</w:t>
            </w:r>
          </w:p>
        </w:tc>
        <w:tc>
          <w:tcPr>
            <w:tcW w:type="dxa" w:w="4200"/>
          </w:tcPr>
          <w:p>
            <w:r>
              <w:rPr>
                <w:b w:val="false"/>
                <w:bCs w:val="false"/>
              </w:rPr>
              <w:t xml:space="preserve">Simplificado, sin nombres técnicos completos de las 21 dimensiones</w:t>
            </w:r>
          </w:p>
        </w:tc>
        <w:tc>
          <w:tcPr>
            <w:tcW w:type="dxa" w:w="3600"/>
          </w:tcPr>
          <w:p>
            <w:r>
              <w:rPr>
                <w:b w:val="false"/>
                <w:bCs w:val="false"/>
              </w:rPr>
              <w:t xml:space="preserve">Completo: dimensiones incluidas en la batería, indicadores de validez, notas de invalidación</w:t>
            </w:r>
          </w:p>
        </w:tc>
      </w:tr>
      <w:tr>
        <w:tc>
          <w:tcPr>
            <w:tcW w:type="dxa" w:w="2600"/>
          </w:tcPr>
          <w:p>
            <w:r>
              <w:rPr>
                <w:b w:val="false"/>
                <w:bCs w:val="false"/>
              </w:rPr>
              <w:t xml:space="preserve">Monetización</w:t>
            </w:r>
          </w:p>
        </w:tc>
        <w:tc>
          <w:tcPr>
            <w:tcW w:type="dxa" w:w="4200"/>
          </w:tcPr>
          <w:p>
            <w:r>
              <w:rPr>
                <w:b w:val="false"/>
                <w:bCs w:val="false"/>
              </w:rPr>
              <w:t xml:space="preserve">Freemium: gratis + reporte premium de pago individual</w:t>
            </w:r>
          </w:p>
        </w:tc>
        <w:tc>
          <w:tcPr>
            <w:tcW w:type="dxa" w:w="3600"/>
          </w:tcPr>
          <w:p>
            <w:r>
              <w:rPr>
                <w:b w:val="false"/>
                <w:bCs w:val="false"/>
              </w:rPr>
              <w:t xml:space="preserve">Pago por niveles de servicio (Sección 3.4)</w:t>
            </w:r>
          </w:p>
        </w:tc>
      </w:tr>
    </w:tbl>
    <w:p>
      <w:pPr>
        <w:pStyle w:val="Heading1"/>
        <w:spacing w:after="200" w:before="400"/>
      </w:pPr>
      <w:r>
        <w:t xml:space="preserve">5. Relación con la Fase 11</w:t>
      </w:r>
    </w:p>
    <w:p>
      <w:pPr>
        <w:spacing w:after="150"/>
      </w:pPr>
      <w:r>
        <w:t xml:space="preserve">El resumen ejecutivo consolidado del proyecto (Fase 11) referencia el flujo de producto descrito aquí como parte del estado 'Completo' del componente de producto y modelo de negocio, con la salvedad explícita de que ningún precio, cifra comercial o aprobación legal de esta fase es definitiva.</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2026-09-10T12:41:19.457Z</dcterms:created>
  <dcterms:modified xsi:type="dcterms:W3CDTF">2026-09-10T12:41:19.458Z</dcterms:modified>
</cp:coreProperties>
</file>

<file path=docProps/custom.xml><?xml version="1.0" encoding="utf-8"?>
<Properties xmlns="http://schemas.openxmlformats.org/officeDocument/2006/custom-properties" xmlns:vt="http://schemas.openxmlformats.org/officeDocument/2006/docPropsVTypes"/>
</file>