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38"/>
          <w:szCs w:val="38"/>
        </w:rPr>
        <w:t xml:space="preserve">Fase 11 — Resumen Ejecutivo Consolidado</w:t>
      </w:r>
    </w:p>
    <w:p>
      <w:pPr>
        <w:spacing w:after="60"/>
        <w:jc w:val="center"/>
      </w:pPr>
      <w:r>
        <w:rPr>
          <w:i/>
          <w:iCs/>
        </w:rPr>
        <w:t xml:space="preserve">[NOMBRE DEL INSTRUMENTO] — Nuevo instrumento de evaluación de integridad laboral</w:t>
      </w:r>
    </w:p>
    <w:p>
      <w:pPr>
        <w:spacing w:after="60"/>
        <w:jc w:val="center"/>
      </w:pPr>
      <w:r>
        <w:rPr>
          <w:i/>
          <w:iCs/>
        </w:rPr>
        <w:t xml:space="preserve">Versión 4 — 21 dimensiones / 210 reactivos</w:t>
      </w:r>
    </w:p>
    <w:p>
      <w:pPr>
        <w:spacing w:after="300"/>
        <w:jc w:val="center"/>
      </w:pPr>
      <w:r>
        <w:rPr>
          <w:sz w:val="20"/>
          <w:szCs w:val="20"/>
        </w:rPr>
        <w:t xml:space="preserve">Preparado para: George (jsuasnavas@gmail.com) · Fecha: 10 de septiembre de 2026</w:t>
      </w:r>
    </w:p>
    <w:p>
      <w:pPr>
        <w:spacing w:after="150"/>
      </w:pPr>
      <w:r>
        <w:t xml:space="preserve">Este documento cierra la Versión 4 del proyecto 'Nuevo Instrumento de Integridad'. Resume el estado de cada componente tras la revisión de constructo del 2026-09-09 (20→21 dimensiones) y la expansión de reactivos del 2026-09-10 (75→210 reactivos, corrección de orientación del IGI, nivel de exigencia por puesto), consolida los pendientes que requieren datos reales o una decisión humana, y ofrece un checklist de lo que falta antes de poder lanzar un piloto real. Reemplaza íntegramente las versiones anteriores de la Fase 11. Con el cierre de esta fase, PROGRESS.json se marca como proyecto completo bajo la Versión 4: no debe ejecutarse ninguna fase adicional del plan de forma automática, salvo que George solicite una nueva revisión.</w:t>
      </w:r>
    </w:p>
    <w:p>
      <w:pPr>
        <w:spacing w:after="150"/>
      </w:pPr>
      <w:r>
        <w:rPr>
          <w:b/>
          <w:bCs/>
        </w:rPr>
        <w:t xml:space="preserve">Convención de evidencia: </w:t>
      </w:r>
      <w:r>
        <w:t xml:space="preserve">[HECHO] = decisión ya aprobada por George en DECISIONS.md · [INFERENCIA] = derivado lógicamente de una decisión aprobada · [HIPÓTESIS] = elección razonable del equipo de diseño, no validada aún empíricamente · [DESCONOCIDO] = pendiente de dato piloto o de decisión comercial/legal de George.</w:t>
      </w:r>
    </w:p>
    <w:p>
      <w:pPr>
        <w:pStyle w:val="Heading1"/>
        <w:spacing w:after="200" w:before="400"/>
      </w:pPr>
      <w:r>
        <w:t xml:space="preserve">1. Qué es este instrumento, en una página</w:t>
      </w:r>
    </w:p>
    <w:p>
      <w:pPr>
        <w:spacing w:after="150"/>
      </w:pPr>
      <w:r>
        <w:t xml:space="preserve">[NOMBRE DEL INSTRUMENTO] es un instrumento de autorreporte para evaluar integridad laboral, diseñado desde cero con arquitectura, lenguaje y reactivos 100% originales (Fases 1-5), tomando como referencia conceptual —nunca textual— el análisis de instrumentos de mercado ya existentes (documentado fuera de esta carpeta). Mide 21 dimensiones agrupadas en tres grupos: 5 dimensiones 'Núcleo — Base' (obligatorias en toda batería), 7 dimensiones 'Núcleo — Adicionales' (se agregan según el análisis de riesgo del puesto) y 9 'Factores Contextuales' (informativos, nunca entran al índice general). Cada dimensión es una sub-prueba independiente con su propio resultado (0-100, con tope estructural de 95). El Índice General de Integridad (IGI) combina únicamente las dimensiones Núcleo (Base + Adicionales seleccionadas para esa batería); más alto es mejor (mayor integridad), y es el único número que se reporta tanto en la capa gratuita como en la de pago. Usa un banco de 210 reactivos (10 por dimensión) de 5 tipos distintos —exactamente 2 de cada tipo por dimensión—, con 5 pares espejo de consistencia en las 21 dimensiones y 4 indicadores transversales de validez del protocolo, que nunca alteran el número calculado, solo su color de presentación (Fases 2-5). Se calcula mediante Teoría Clásica de los Tests con una fórmula propia y documentada (Puntaje de Riesgo Base interno → IGI reportado como su complemento, con un multiplicador opcional de exigencia según el nivel jerárquico del puesto), preparado desde el diseño para migrar a Teoría de Respuesta al Ítem cuando exista muestra suficiente (Fase 6-7). Se lanzará bajo un modelo de negocio híbrido: versión individual gratuita y viral (5 dimensiones Base, 50 reactivos), y versión empresarial de pago para procesos de selección con batería configurable por puesto, ambas sobre el mismo motor de medición (Fase 10).</w:t>
      </w:r>
    </w:p>
    <w:p>
      <w:pPr>
        <w:pStyle w:val="Heading1"/>
        <w:spacing w:after="200" w:before="400"/>
      </w:pPr>
      <w:r>
        <w:t xml:space="preserve">2. Estado de cada componente</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600"/>
        <w:gridCol w:w="1600"/>
        <w:gridCol w:w="4200"/>
      </w:tblGrid>
      <w:tr>
        <w:tc>
          <w:tcPr>
            <w:tcW w:type="dxa" w:w="700"/>
            <w:shd w:fill="D9D9D9" w:val="clear"/>
          </w:tcPr>
          <w:p>
            <w:r>
              <w:rPr>
                <w:b/>
                <w:bCs/>
              </w:rPr>
              <w:t xml:space="preserve">Fase</w:t>
            </w:r>
          </w:p>
        </w:tc>
        <w:tc>
          <w:tcPr>
            <w:tcW w:type="dxa" w:w="2400"/>
            <w:shd w:fill="D9D9D9" w:val="clear"/>
          </w:tcPr>
          <w:p>
            <w:r>
              <w:rPr>
                <w:b/>
                <w:bCs/>
              </w:rPr>
              <w:t xml:space="preserve">Componente</w:t>
            </w:r>
          </w:p>
        </w:tc>
        <w:tc>
          <w:tcPr>
            <w:tcW w:type="dxa" w:w="2600"/>
            <w:shd w:fill="D9D9D9" w:val="clear"/>
          </w:tcPr>
          <w:p>
            <w:r>
              <w:rPr>
                <w:b/>
                <w:bCs/>
              </w:rPr>
              <w:t xml:space="preserve">Entregable(s)</w:t>
            </w:r>
          </w:p>
        </w:tc>
        <w:tc>
          <w:tcPr>
            <w:tcW w:type="dxa" w:w="1600"/>
            <w:shd w:fill="D9D9D9" w:val="clear"/>
          </w:tcPr>
          <w:p>
            <w:r>
              <w:rPr>
                <w:b/>
                <w:bCs/>
              </w:rPr>
              <w:t xml:space="preserve">Estado</w:t>
            </w:r>
          </w:p>
        </w:tc>
        <w:tc>
          <w:tcPr>
            <w:tcW w:type="dxa" w:w="4200"/>
            <w:shd w:fill="D9D9D9" w:val="clear"/>
          </w:tcPr>
          <w:p>
            <w:r>
              <w:rPr>
                <w:b/>
                <w:bCs/>
              </w:rPr>
              <w:t xml:space="preserve">Contenido clave</w:t>
            </w:r>
          </w:p>
        </w:tc>
      </w:tr>
      <w:tr>
        <w:tc>
          <w:tcPr>
            <w:tcW w:type="dxa" w:w="700"/>
          </w:tcPr>
          <w:p>
            <w:r>
              <w:rPr>
                <w:b w:val="false"/>
                <w:bCs w:val="false"/>
              </w:rPr>
              <w:t xml:space="preserve">1</w:t>
            </w:r>
          </w:p>
        </w:tc>
        <w:tc>
          <w:tcPr>
            <w:tcW w:type="dxa" w:w="2400"/>
          </w:tcPr>
          <w:p>
            <w:r>
              <w:rPr>
                <w:b w:val="false"/>
                <w:bCs w:val="false"/>
              </w:rPr>
              <w:t xml:space="preserve">Arquitectura de dimensiones</w:t>
            </w:r>
          </w:p>
        </w:tc>
        <w:tc>
          <w:tcPr>
            <w:tcW w:type="dxa" w:w="2600"/>
          </w:tcPr>
          <w:p>
            <w:r>
              <w:rPr>
                <w:b w:val="false"/>
                <w:bCs w:val="false"/>
              </w:rPr>
              <w:t xml:space="preserve">Fase1_Dimensiones_NuevoInstrumento.docx</w:t>
            </w:r>
          </w:p>
        </w:tc>
        <w:tc>
          <w:tcPr>
            <w:tcW w:type="dxa" w:w="1600"/>
          </w:tcPr>
          <w:p>
            <w:r>
              <w:rPr>
                <w:b w:val="false"/>
                <w:bCs w:val="false"/>
              </w:rPr>
              <w:t xml:space="preserve">Completo (v2)</w:t>
            </w:r>
          </w:p>
        </w:tc>
        <w:tc>
          <w:tcPr>
            <w:tcW w:type="dxa" w:w="4200"/>
          </w:tcPr>
          <w:p>
            <w:r>
              <w:rPr>
                <w:b w:val="false"/>
                <w:bCs w:val="false"/>
              </w:rPr>
              <w:t xml:space="preserve">21 dimensiones (5 Base + 7 Adicionales + 9 Contextuales), cada una con fuente teórica, definición operacional original y 4 indicadores conductuales.</w:t>
            </w:r>
          </w:p>
        </w:tc>
      </w:tr>
      <w:tr>
        <w:tc>
          <w:tcPr>
            <w:tcW w:type="dxa" w:w="700"/>
          </w:tcPr>
          <w:p>
            <w:r>
              <w:rPr>
                <w:b w:val="false"/>
                <w:bCs w:val="false"/>
              </w:rPr>
              <w:t xml:space="preserve">1B</w:t>
            </w:r>
          </w:p>
        </w:tc>
        <w:tc>
          <w:tcPr>
            <w:tcW w:type="dxa" w:w="2400"/>
          </w:tcPr>
          <w:p>
            <w:r>
              <w:rPr>
                <w:b w:val="false"/>
                <w:bCs w:val="false"/>
              </w:rPr>
              <w:t xml:space="preserve">Diccionario de nombres v1→v2</w:t>
            </w:r>
          </w:p>
        </w:tc>
        <w:tc>
          <w:tcPr>
            <w:tcW w:type="dxa" w:w="2600"/>
          </w:tcPr>
          <w:p>
            <w:r>
              <w:rPr>
                <w:b w:val="false"/>
                <w:bCs w:val="false"/>
              </w:rPr>
              <w:t xml:space="preserve">Fase1B_Diccionario_Nombres_v1_a_v2.md</w:t>
            </w:r>
          </w:p>
        </w:tc>
        <w:tc>
          <w:tcPr>
            <w:tcW w:type="dxa" w:w="1600"/>
          </w:tcPr>
          <w:p>
            <w:r>
              <w:rPr>
                <w:b w:val="false"/>
                <w:bCs w:val="false"/>
              </w:rPr>
              <w:t xml:space="preserve">Completo (nuevo)</w:t>
            </w:r>
          </w:p>
        </w:tc>
        <w:tc>
          <w:tcPr>
            <w:tcW w:type="dxa" w:w="4200"/>
          </w:tcPr>
          <w:p>
            <w:r>
              <w:rPr>
                <w:b w:val="false"/>
                <w:bCs w:val="false"/>
              </w:rPr>
              <w:t xml:space="preserve">Tabla de equivalencia entre los 20 nombres v1 (obsoletos) y los 21 nombres v2 vigentes, para trazabilidad.</w:t>
            </w:r>
          </w:p>
        </w:tc>
      </w:tr>
      <w:tr>
        <w:tc>
          <w:tcPr>
            <w:tcW w:type="dxa" w:w="700"/>
          </w:tcPr>
          <w:p>
            <w:r>
              <w:rPr>
                <w:b w:val="false"/>
                <w:bCs w:val="false"/>
              </w:rPr>
              <w:t xml:space="preserve">2</w:t>
            </w:r>
          </w:p>
        </w:tc>
        <w:tc>
          <w:tcPr>
            <w:tcW w:type="dxa" w:w="2400"/>
          </w:tcPr>
          <w:p>
            <w:r>
              <w:rPr>
                <w:b w:val="false"/>
                <w:bCs w:val="false"/>
              </w:rPr>
              <w:t xml:space="preserve">Marco de reactivos y escalas</w:t>
            </w:r>
          </w:p>
        </w:tc>
        <w:tc>
          <w:tcPr>
            <w:tcW w:type="dxa" w:w="2600"/>
          </w:tcPr>
          <w:p>
            <w:r>
              <w:rPr>
                <w:b w:val="false"/>
                <w:bCs w:val="false"/>
              </w:rPr>
              <w:t xml:space="preserve">Fase2_Marco_Reactivos_Escalas.docx</w:t>
            </w:r>
          </w:p>
        </w:tc>
        <w:tc>
          <w:tcPr>
            <w:tcW w:type="dxa" w:w="1600"/>
          </w:tcPr>
          <w:p>
            <w:r>
              <w:rPr>
                <w:b w:val="false"/>
                <w:bCs w:val="false"/>
              </w:rPr>
              <w:t xml:space="preserve">Completo (v4)</w:t>
            </w:r>
          </w:p>
        </w:tc>
        <w:tc>
          <w:tcPr>
            <w:tcW w:type="dxa" w:w="4200"/>
          </w:tcPr>
          <w:p>
            <w:r>
              <w:rPr>
                <w:b w:val="false"/>
                <w:bCs w:val="false"/>
              </w:rPr>
              <w:t xml:space="preserve">5 tipos de reactivo usados en una distribución fija de 2 por tipo en cada dimensión, escala de opción variable, reglas de direccionalidad, diseño de 5 pares espejo obligatorios por dimensión (105 en total, en las 21 dimensiones) y los 4 indicadores de validez con reglas de invalidación que nunca alteran el número calculado.</w:t>
            </w:r>
          </w:p>
        </w:tc>
      </w:tr>
      <w:tr>
        <w:tc>
          <w:tcPr>
            <w:tcW w:type="dxa" w:w="700"/>
          </w:tcPr>
          <w:p>
            <w:r>
              <w:rPr>
                <w:b w:val="false"/>
                <w:bCs w:val="false"/>
              </w:rPr>
              <w:t xml:space="preserve">3</w:t>
            </w:r>
          </w:p>
        </w:tc>
        <w:tc>
          <w:tcPr>
            <w:tcW w:type="dxa" w:w="2400"/>
          </w:tcPr>
          <w:p>
            <w:r>
              <w:rPr>
                <w:b w:val="false"/>
                <w:bCs w:val="false"/>
              </w:rPr>
              <w:t xml:space="preserve">Banco de reactivos, parte 1 (Base)</w:t>
            </w:r>
          </w:p>
        </w:tc>
        <w:tc>
          <w:tcPr>
            <w:tcW w:type="dxa" w:w="2600"/>
          </w:tcPr>
          <w:p>
            <w:r>
              <w:rPr>
                <w:b w:val="false"/>
                <w:bCs w:val="false"/>
              </w:rPr>
              <w:t xml:space="preserve">Fase3_Banco_Reactivos_Parte1.docx</w:t>
            </w:r>
          </w:p>
        </w:tc>
        <w:tc>
          <w:tcPr>
            <w:tcW w:type="dxa" w:w="1600"/>
          </w:tcPr>
          <w:p>
            <w:r>
              <w:rPr>
                <w:b w:val="false"/>
                <w:bCs w:val="false"/>
              </w:rPr>
              <w:t xml:space="preserve">Completo (v4)</w:t>
            </w:r>
          </w:p>
        </w:tc>
        <w:tc>
          <w:tcPr>
            <w:tcW w:type="dxa" w:w="4200"/>
          </w:tcPr>
          <w:p>
            <w:r>
              <w:rPr>
                <w:b w:val="false"/>
                <w:bCs w:val="false"/>
              </w:rPr>
              <w:t xml:space="preserve">50 reactivos originales (10 por dimensión × 5 dimensiones, R001-R050), 5 variantes de redacción cada uno, formato de 16 campos, dimensiones 1-5.</w:t>
            </w:r>
          </w:p>
        </w:tc>
      </w:tr>
      <w:tr>
        <w:tc>
          <w:tcPr>
            <w:tcW w:type="dxa" w:w="700"/>
          </w:tcPr>
          <w:p>
            <w:r>
              <w:rPr>
                <w:b w:val="false"/>
                <w:bCs w:val="false"/>
              </w:rPr>
              <w:t xml:space="preserve">4</w:t>
            </w:r>
          </w:p>
        </w:tc>
        <w:tc>
          <w:tcPr>
            <w:tcW w:type="dxa" w:w="2400"/>
          </w:tcPr>
          <w:p>
            <w:r>
              <w:rPr>
                <w:b w:val="false"/>
                <w:bCs w:val="false"/>
              </w:rPr>
              <w:t xml:space="preserve">Banco de reactivos, parte 2 (Adicionales)</w:t>
            </w:r>
          </w:p>
        </w:tc>
        <w:tc>
          <w:tcPr>
            <w:tcW w:type="dxa" w:w="2600"/>
          </w:tcPr>
          <w:p>
            <w:r>
              <w:rPr>
                <w:b w:val="false"/>
                <w:bCs w:val="false"/>
              </w:rPr>
              <w:t xml:space="preserve">Fase4_Banco_Reactivos_Parte2.docx</w:t>
            </w:r>
          </w:p>
        </w:tc>
        <w:tc>
          <w:tcPr>
            <w:tcW w:type="dxa" w:w="1600"/>
          </w:tcPr>
          <w:p>
            <w:r>
              <w:rPr>
                <w:b w:val="false"/>
                <w:bCs w:val="false"/>
              </w:rPr>
              <w:t xml:space="preserve">Completo (v4)</w:t>
            </w:r>
          </w:p>
        </w:tc>
        <w:tc>
          <w:tcPr>
            <w:tcW w:type="dxa" w:w="4200"/>
          </w:tcPr>
          <w:p>
            <w:r>
              <w:rPr>
                <w:b w:val="false"/>
                <w:bCs w:val="false"/>
              </w:rPr>
              <w:t xml:space="preserve">70 reactivos originales (10 por dimensión × 7 dimensiones, R051-R120), 5 variantes de redacción cada uno, formato de 16 campos, dimensiones 6-12.</w:t>
            </w:r>
          </w:p>
        </w:tc>
      </w:tr>
      <w:tr>
        <w:tc>
          <w:tcPr>
            <w:tcW w:type="dxa" w:w="700"/>
          </w:tcPr>
          <w:p>
            <w:r>
              <w:rPr>
                <w:b w:val="false"/>
                <w:bCs w:val="false"/>
              </w:rPr>
              <w:t xml:space="preserve">5</w:t>
            </w:r>
          </w:p>
        </w:tc>
        <w:tc>
          <w:tcPr>
            <w:tcW w:type="dxa" w:w="2400"/>
          </w:tcPr>
          <w:p>
            <w:r>
              <w:rPr>
                <w:b w:val="false"/>
                <w:bCs w:val="false"/>
              </w:rPr>
              <w:t xml:space="preserve">Banco de reactivos, parte 3 (Contextuales) y consolidado</w:t>
            </w:r>
          </w:p>
        </w:tc>
        <w:tc>
          <w:tcPr>
            <w:tcW w:type="dxa" w:w="2600"/>
          </w:tcPr>
          <w:p>
            <w:r>
              <w:rPr>
                <w:b w:val="false"/>
                <w:bCs w:val="false"/>
              </w:rPr>
              <w:t xml:space="preserve">Fase5_Banco_Reactivos_Parte3_y_Consolidado.docx</w:t>
            </w:r>
          </w:p>
        </w:tc>
        <w:tc>
          <w:tcPr>
            <w:tcW w:type="dxa" w:w="1600"/>
          </w:tcPr>
          <w:p>
            <w:r>
              <w:rPr>
                <w:b w:val="false"/>
                <w:bCs w:val="false"/>
              </w:rPr>
              <w:t xml:space="preserve">Completo (v4)</w:t>
            </w:r>
          </w:p>
        </w:tc>
        <w:tc>
          <w:tcPr>
            <w:tcW w:type="dxa" w:w="4200"/>
          </w:tcPr>
          <w:p>
            <w:r>
              <w:rPr>
                <w:b w:val="false"/>
                <w:bCs w:val="false"/>
              </w:rPr>
              <w:t xml:space="preserve">90 reactivos originales (10 por dimensión × 9 dimensiones, R121-R210), tabla consolidada de los 210 reactivos y tabla de cobertura por grupo (105 pares espejo totales).</w:t>
            </w:r>
          </w:p>
        </w:tc>
      </w:tr>
      <w:tr>
        <w:tc>
          <w:tcPr>
            <w:tcW w:type="dxa" w:w="700"/>
          </w:tcPr>
          <w:p>
            <w:r>
              <w:rPr>
                <w:b w:val="false"/>
                <w:bCs w:val="false"/>
              </w:rPr>
              <w:t xml:space="preserve">6</w:t>
            </w:r>
          </w:p>
        </w:tc>
        <w:tc>
          <w:tcPr>
            <w:tcW w:type="dxa" w:w="2400"/>
          </w:tcPr>
          <w:p>
            <w:r>
              <w:rPr>
                <w:b w:val="false"/>
                <w:bCs w:val="false"/>
              </w:rPr>
              <w:t xml:space="preserve">Matriz de scoring</w:t>
            </w:r>
          </w:p>
        </w:tc>
        <w:tc>
          <w:tcPr>
            <w:tcW w:type="dxa" w:w="2600"/>
          </w:tcPr>
          <w:p>
            <w:r>
              <w:rPr>
                <w:b w:val="false"/>
                <w:bCs w:val="false"/>
              </w:rPr>
              <w:t xml:space="preserve">Fase6_Matriz_Scoring.xlsx + Fase6_Modelo_Calculo.docx</w:t>
            </w:r>
          </w:p>
        </w:tc>
        <w:tc>
          <w:tcPr>
            <w:tcW w:type="dxa" w:w="1600"/>
          </w:tcPr>
          <w:p>
            <w:r>
              <w:rPr>
                <w:b w:val="false"/>
                <w:bCs w:val="false"/>
              </w:rPr>
              <w:t xml:space="preserve">Completo (v4)</w:t>
            </w:r>
          </w:p>
        </w:tc>
        <w:tc>
          <w:tcPr>
            <w:tcW w:type="dxa" w:w="4200"/>
          </w:tcPr>
          <w:p>
            <w:r>
              <w:rPr>
                <w:b w:val="false"/>
                <w:bCs w:val="false"/>
              </w:rPr>
              <w:t xml:space="preserve">Matriz Excel con fórmulas en vivo (verificada sin errores de recálculo) y fórmula narrativa completa reactivo→dimensión→Puntaje de Riesgo Base→IGI, con el multiplicador de nivel de exigencia por puesto y la renormalización de pesos cuando la batería configurada excluye dimensiones Adicionales (la invalidación, en cambio, nunca cambia el número, solo su color de presentación).</w:t>
            </w:r>
          </w:p>
        </w:tc>
      </w:tr>
      <w:tr>
        <w:tc>
          <w:tcPr>
            <w:tcW w:type="dxa" w:w="700"/>
          </w:tcPr>
          <w:p>
            <w:r>
              <w:rPr>
                <w:b w:val="false"/>
                <w:bCs w:val="false"/>
              </w:rPr>
              <w:t xml:space="preserve">7</w:t>
            </w:r>
          </w:p>
        </w:tc>
        <w:tc>
          <w:tcPr>
            <w:tcW w:type="dxa" w:w="2400"/>
          </w:tcPr>
          <w:p>
            <w:r>
              <w:rPr>
                <w:b w:val="false"/>
                <w:bCs w:val="false"/>
              </w:rPr>
              <w:t xml:space="preserve">Ejemplo de cálculo paso a paso</w:t>
            </w:r>
          </w:p>
        </w:tc>
        <w:tc>
          <w:tcPr>
            <w:tcW w:type="dxa" w:w="2600"/>
          </w:tcPr>
          <w:p>
            <w:r>
              <w:rPr>
                <w:b w:val="false"/>
                <w:bCs w:val="false"/>
              </w:rPr>
              <w:t xml:space="preserve">Fase7_Ejemplo_Calculo.docx</w:t>
            </w:r>
          </w:p>
        </w:tc>
        <w:tc>
          <w:tcPr>
            <w:tcW w:type="dxa" w:w="1600"/>
          </w:tcPr>
          <w:p>
            <w:r>
              <w:rPr>
                <w:b w:val="false"/>
                <w:bCs w:val="false"/>
              </w:rPr>
              <w:t xml:space="preserve">Completo (v4)</w:t>
            </w:r>
          </w:p>
        </w:tc>
        <w:tc>
          <w:tcPr>
            <w:tcW w:type="dxa" w:w="4200"/>
          </w:tcPr>
          <w:p>
            <w:r>
              <w:rPr>
                <w:b w:val="false"/>
                <w:bCs w:val="false"/>
              </w:rPr>
              <w:t xml:space="preserve">Candidato ficticio 'Persona X' con reactivos reales de la Versión 4, incluyendo detección de una contradicción real y su efecto —solo de presentación, el número no cambia— en ambas capas de salida.</w:t>
            </w:r>
          </w:p>
        </w:tc>
      </w:tr>
      <w:tr>
        <w:tc>
          <w:tcPr>
            <w:tcW w:type="dxa" w:w="700"/>
          </w:tcPr>
          <w:p>
            <w:r>
              <w:rPr>
                <w:b w:val="false"/>
                <w:bCs w:val="false"/>
              </w:rPr>
              <w:t xml:space="preserve">8</w:t>
            </w:r>
          </w:p>
        </w:tc>
        <w:tc>
          <w:tcPr>
            <w:tcW w:type="dxa" w:w="2400"/>
          </w:tcPr>
          <w:p>
            <w:r>
              <w:rPr>
                <w:b w:val="false"/>
                <w:bCs w:val="false"/>
              </w:rPr>
              <w:t xml:space="preserve">Marco de normas y plan de recolección</w:t>
            </w:r>
          </w:p>
        </w:tc>
        <w:tc>
          <w:tcPr>
            <w:tcW w:type="dxa" w:w="2600"/>
          </w:tcPr>
          <w:p>
            <w:r>
              <w:rPr>
                <w:b w:val="false"/>
                <w:bCs w:val="false"/>
              </w:rPr>
              <w:t xml:space="preserve">Fase8_Marco_Normas_Plan_Recoleccion.docx</w:t>
            </w:r>
          </w:p>
        </w:tc>
        <w:tc>
          <w:tcPr>
            <w:tcW w:type="dxa" w:w="1600"/>
          </w:tcPr>
          <w:p>
            <w:r>
              <w:rPr>
                <w:b w:val="false"/>
                <w:bCs w:val="false"/>
              </w:rPr>
              <w:t xml:space="preserve">Completo (sin cambios)</w:t>
            </w:r>
          </w:p>
        </w:tc>
        <w:tc>
          <w:tcPr>
            <w:tcW w:type="dxa" w:w="4200"/>
          </w:tcPr>
          <w:p>
            <w:r>
              <w:rPr>
                <w:b w:val="false"/>
                <w:bCs w:val="false"/>
              </w:rPr>
              <w:t xml:space="preserve">No depende de nombres/número de dimensiones. Fórmulas de estandarización, metas de tamaño muestral, periodicidad de recalibración y plan operativo de recolección piloto, sin estadísticas reales.</w:t>
            </w:r>
          </w:p>
        </w:tc>
      </w:tr>
      <w:tr>
        <w:tc>
          <w:tcPr>
            <w:tcW w:type="dxa" w:w="700"/>
          </w:tcPr>
          <w:p>
            <w:r>
              <w:rPr>
                <w:b w:val="false"/>
                <w:bCs w:val="false"/>
              </w:rPr>
              <w:t xml:space="preserve">9</w:t>
            </w:r>
          </w:p>
        </w:tc>
        <w:tc>
          <w:tcPr>
            <w:tcW w:type="dxa" w:w="2400"/>
          </w:tcPr>
          <w:p>
            <w:r>
              <w:rPr>
                <w:b w:val="false"/>
                <w:bCs w:val="false"/>
              </w:rPr>
              <w:t xml:space="preserve">Plan de validación psicométrica</w:t>
            </w:r>
          </w:p>
        </w:tc>
        <w:tc>
          <w:tcPr>
            <w:tcW w:type="dxa" w:w="2600"/>
          </w:tcPr>
          <w:p>
            <w:r>
              <w:rPr>
                <w:b w:val="false"/>
                <w:bCs w:val="false"/>
              </w:rPr>
              <w:t xml:space="preserve">Fase9_Plan_Validacion.docx</w:t>
            </w:r>
          </w:p>
        </w:tc>
        <w:tc>
          <w:tcPr>
            <w:tcW w:type="dxa" w:w="1600"/>
          </w:tcPr>
          <w:p>
            <w:r>
              <w:rPr>
                <w:b w:val="false"/>
                <w:bCs w:val="false"/>
              </w:rPr>
              <w:t xml:space="preserve">Completo (sin cambios)</w:t>
            </w:r>
          </w:p>
        </w:tc>
        <w:tc>
          <w:tcPr>
            <w:tcW w:type="dxa" w:w="4200"/>
          </w:tcPr>
          <w:p>
            <w:r>
              <w:rPr>
                <w:b w:val="false"/>
                <w:bCs w:val="false"/>
              </w:rPr>
              <w:t xml:space="preserve">No depende de nombres/número de dimensiones. Plan de análisis de ítems, fiabilidad, estructura factorial, TRI/IRT, DIF, validez y puntos de corte, sin resultados simulados.</w:t>
            </w:r>
          </w:p>
        </w:tc>
      </w:tr>
      <w:tr>
        <w:tc>
          <w:tcPr>
            <w:tcW w:type="dxa" w:w="700"/>
          </w:tcPr>
          <w:p>
            <w:r>
              <w:rPr>
                <w:b w:val="false"/>
                <w:bCs w:val="false"/>
              </w:rPr>
              <w:t xml:space="preserve">10</w:t>
            </w:r>
          </w:p>
        </w:tc>
        <w:tc>
          <w:tcPr>
            <w:tcW w:type="dxa" w:w="2400"/>
          </w:tcPr>
          <w:p>
            <w:r>
              <w:rPr>
                <w:b w:val="false"/>
                <w:bCs w:val="false"/>
              </w:rPr>
              <w:t xml:space="preserve">Diseño de producto y modelo de negocio</w:t>
            </w:r>
          </w:p>
        </w:tc>
        <w:tc>
          <w:tcPr>
            <w:tcW w:type="dxa" w:w="2600"/>
          </w:tcPr>
          <w:p>
            <w:r>
              <w:rPr>
                <w:b w:val="false"/>
                <w:bCs w:val="false"/>
              </w:rPr>
              <w:t xml:space="preserve">Fase10_Producto_Modelo_Negocio.docx</w:t>
            </w:r>
          </w:p>
        </w:tc>
        <w:tc>
          <w:tcPr>
            <w:tcW w:type="dxa" w:w="1600"/>
          </w:tcPr>
          <w:p>
            <w:r>
              <w:rPr>
                <w:b w:val="false"/>
                <w:bCs w:val="false"/>
              </w:rPr>
              <w:t xml:space="preserve">Completo (v4)</w:t>
            </w:r>
          </w:p>
        </w:tc>
        <w:tc>
          <w:tcPr>
            <w:tcW w:type="dxa" w:w="4200"/>
          </w:tcPr>
          <w:p>
            <w:r>
              <w:rPr>
                <w:b w:val="false"/>
                <w:bCs w:val="false"/>
              </w:rPr>
              <w:t xml:space="preserve">Flujo B2C viral (5 dimensiones Base, 50 reactivos) y B2B de pago con batería configurable por puesto (hasta 21 dimensiones/210 reactivos), mismo motor psicométrico, niveles de precio conceptuales sin cifras reales.</w:t>
            </w:r>
          </w:p>
        </w:tc>
      </w:tr>
      <w:tr>
        <w:tc>
          <w:tcPr>
            <w:tcW w:type="dxa" w:w="700"/>
          </w:tcPr>
          <w:p>
            <w:r>
              <w:rPr>
                <w:b w:val="false"/>
                <w:bCs w:val="false"/>
              </w:rPr>
              <w:t xml:space="preserve">11</w:t>
            </w:r>
          </w:p>
        </w:tc>
        <w:tc>
          <w:tcPr>
            <w:tcW w:type="dxa" w:w="2400"/>
          </w:tcPr>
          <w:p>
            <w:r>
              <w:rPr>
                <w:b w:val="false"/>
                <w:bCs w:val="false"/>
              </w:rPr>
              <w:t xml:space="preserve">Resumen ejecutivo consolidado</w:t>
            </w:r>
          </w:p>
        </w:tc>
        <w:tc>
          <w:tcPr>
            <w:tcW w:type="dxa" w:w="2600"/>
          </w:tcPr>
          <w:p>
            <w:r>
              <w:rPr>
                <w:b w:val="false"/>
                <w:bCs w:val="false"/>
              </w:rPr>
              <w:t xml:space="preserve">Fase11_Resumen_Ejecutivo_Consolidado.docx (este documento)</w:t>
            </w:r>
          </w:p>
        </w:tc>
        <w:tc>
          <w:tcPr>
            <w:tcW w:type="dxa" w:w="1600"/>
          </w:tcPr>
          <w:p>
            <w:r>
              <w:rPr>
                <w:b w:val="false"/>
                <w:bCs w:val="false"/>
              </w:rPr>
              <w:t xml:space="preserve">Completo (v4)</w:t>
            </w:r>
          </w:p>
        </w:tc>
        <w:tc>
          <w:tcPr>
            <w:tcW w:type="dxa" w:w="4200"/>
          </w:tcPr>
          <w:p>
            <w:r>
              <w:rPr>
                <w:b w:val="false"/>
                <w:bCs w:val="false"/>
              </w:rPr>
              <w:t xml:space="preserve">Cierre de la Versión 4 del proyecto de diseño.</w:t>
            </w:r>
          </w:p>
        </w:tc>
      </w:tr>
    </w:tbl>
    <w:p>
      <w:pPr>
        <w:spacing w:after="200"/>
      </w:pPr>
    </w:p>
    <w:p>
      <w:pPr>
        <w:spacing w:after="150"/>
      </w:pPr>
      <w:r>
        <w:rPr>
          <w:b/>
          <w:bCs/>
        </w:rPr>
        <w:t xml:space="preserve">[HECHO] </w:t>
      </w:r>
      <w:r>
        <w:t xml:space="preserve"> Las 11 fases del plan maestro (PLAN.md), bajo la arquitectura Versión 4 de 21 dimensiones y 210 reactivos, están completas. El proyecto de diseño conceptual, tal como fue encargado y luego ajustado por George el 2026-09-09 (revisión de dimensiones, 20→21) y el 2026-09-10 (expansión del banco de reactivos, 75→210), ha concluido.</w:t>
      </w:r>
    </w:p>
    <w:p>
      <w:pPr>
        <w:pStyle w:val="Heading1"/>
        <w:spacing w:after="200" w:before="400"/>
      </w:pPr>
      <w:r>
        <w:t xml:space="preserve">3. Lo que este proyecto SÍ entrega</w:t>
      </w:r>
    </w:p>
    <w:p>
      <w:pPr>
        <w:pStyle w:val="ListParagraph"/>
        <w:numPr>
          <w:ilvl w:val="0"/>
          <w:numId w:val="1"/>
        </w:numPr>
        <w:spacing w:after="100"/>
      </w:pPr>
      <w:r>
        <w:t xml:space="preserve">Un modelo psicométrico completo y auditable: 21 dimensiones con fundamento teórico propio, organizadas en Base obligatoria / Adicional configurable / Contextual informativa; 210 reactivos originales (10 por dimensión, 5 variantes de redacción cada uno) con 16 campos de metadatos cada uno; y una fórmula de cálculo (Puntaje de Riesgo Base interno → IGI reportado) completamente documentada y trazable desde la respuesta cruda hasta el resultado final, incluyendo la renormalización de pesos cuando se configura una batería con solo algunas dimensiones Adicionales (la invalidación parcial o total de una dimensión nunca cambia el número calculado, solo su color de presentación).</w:t>
      </w:r>
    </w:p>
    <w:p>
      <w:pPr>
        <w:pStyle w:val="ListParagraph"/>
        <w:numPr>
          <w:ilvl w:val="0"/>
          <w:numId w:val="1"/>
        </w:numPr>
        <w:spacing w:after="100"/>
      </w:pPr>
      <w:r>
        <w:t xml:space="preserve">Una matriz de scoring funcional (Fase6_Matriz_Scoring.xlsx) con fórmulas en vivo, verificada sin errores de recálculo, que puede recalcularse ante cambios de pesos, respuestas o selección de dimensiones Adicionales/Contextuales para un puesto específico.</w:t>
      </w:r>
    </w:p>
    <w:p>
      <w:pPr>
        <w:pStyle w:val="ListParagraph"/>
        <w:numPr>
          <w:ilvl w:val="0"/>
          <w:numId w:val="1"/>
        </w:numPr>
        <w:spacing w:after="100"/>
      </w:pPr>
      <w:r>
        <w:t xml:space="preserve">Un ejemplo de cálculo completo y verificable a mano, incluyendo el manejo real de una contradicción detectada y su efecto en el resultado final.</w:t>
      </w:r>
    </w:p>
    <w:p>
      <w:pPr>
        <w:pStyle w:val="ListParagraph"/>
        <w:numPr>
          <w:ilvl w:val="0"/>
          <w:numId w:val="1"/>
        </w:numPr>
        <w:spacing w:after="100"/>
      </w:pPr>
      <w:r>
        <w:t xml:space="preserve">Un plan concreto (no solo una intención) de cómo recolectar datos piloto, cómo calcular una norma real a partir de ellos, y cómo validar psicométricamente todo el modelo.</w:t>
      </w:r>
    </w:p>
    <w:p>
      <w:pPr>
        <w:pStyle w:val="ListParagraph"/>
        <w:numPr>
          <w:ilvl w:val="0"/>
          <w:numId w:val="1"/>
        </w:numPr>
        <w:spacing w:after="100"/>
      </w:pPr>
      <w:r>
        <w:t xml:space="preserve">Un diseño de producto y modelo de negocio coherente con el modelo híbrido B2C/B2B aprobado, incluyendo la lógica de batería configurable por puesto en la capa B2B, sin inventar cifras comerciales reales.</w:t>
      </w:r>
    </w:p>
    <w:p>
      <w:pPr>
        <w:pStyle w:val="ListParagraph"/>
        <w:numPr>
          <w:ilvl w:val="0"/>
          <w:numId w:val="1"/>
        </w:numPr>
        <w:spacing w:after="100"/>
      </w:pPr>
      <w:r>
        <w:t xml:space="preserve">Trazabilidad completa de decisiones: cada supuesto no cubierto explícitamente por DECISIONS.md o PLAN.md quedó registrado en ASSUMPTIONS.md (incluyendo la propia revisión de constructo del 2026-09-09), y cada afirmación de este proyecto está etiquetada como HECHO, INFERENCIA, HIPÓTESIS o DESCONOCIDO.</w:t>
      </w:r>
    </w:p>
    <w:p>
      <w:pPr>
        <w:pStyle w:val="Heading1"/>
        <w:spacing w:after="200" w:before="400"/>
      </w:pPr>
      <w:r>
        <w:t xml:space="preserve">4. Lo que este proyecto NO entrega (y por qué)</w:t>
      </w:r>
    </w:p>
    <w:p>
      <w:pPr>
        <w:pStyle w:val="ListParagraph"/>
        <w:numPr>
          <w:ilvl w:val="0"/>
          <w:numId w:val="1"/>
        </w:numPr>
        <w:spacing w:after="100"/>
      </w:pPr>
      <w:r>
        <w:t xml:space="preserve">Ningún dato psicométrico real: cero medias, desviaciones estándar, percentiles, cargas factoriales, alfas, correlaciones o tasas de error simuladas. Todo eso requiere el piloto real descrito en la Fase 8, fuera del alcance de este proyecto de diseño (DECISIONS.md, regla permanente).</w:t>
      </w:r>
    </w:p>
    <w:p>
      <w:pPr>
        <w:pStyle w:val="ListParagraph"/>
        <w:numPr>
          <w:ilvl w:val="0"/>
          <w:numId w:val="1"/>
        </w:numPr>
        <w:spacing w:after="100"/>
      </w:pPr>
      <w:r>
        <w:t xml:space="preserve">Ninguna validación empírica de que las 21 dimensiones son estadísticamente distinguibles entre sí, de que el banco de 210 reactivos discrimina adecuadamente, o de que los pesos iguales asignados a las 12 dimensiones Núcleo son los correctos: todo esto es una hipótesis de diseño inicial (Fases 1, 2 y 6), pendiente del análisis de la Fase 9.</w:t>
      </w:r>
    </w:p>
    <w:p>
      <w:pPr>
        <w:pStyle w:val="ListParagraph"/>
        <w:numPr>
          <w:ilvl w:val="0"/>
          <w:numId w:val="1"/>
        </w:numPr>
        <w:spacing w:after="100"/>
      </w:pPr>
      <w:r>
        <w:t xml:space="preserve">Ninguna revisión legal de cumplimiento normativo (protección de datos, legislación laboral y de pruebas psicológicas en procesos de selección, por país) para el uso comercial de la versión B2B (Fase 10, Sección 3.2); esta revisión debe encargarse a asesoría legal especializada antes de cualquier venta real.</w:t>
      </w:r>
    </w:p>
    <w:p>
      <w:pPr>
        <w:pStyle w:val="ListParagraph"/>
        <w:numPr>
          <w:ilvl w:val="0"/>
          <w:numId w:val="1"/>
        </w:numPr>
        <w:spacing w:after="100"/>
      </w:pPr>
      <w:r>
        <w:t xml:space="preserve">Ningún nombre de marca ni identidad visual: el proyecto usa consistentemente el placeholder [NOMBRE DEL INSTRUMENTO] en los 11 documentos técnicos, a la espera de que George defina el nombre comercial (DECISIONS.md, punto 11).</w:t>
      </w:r>
    </w:p>
    <w:p>
      <w:pPr>
        <w:pStyle w:val="ListParagraph"/>
        <w:numPr>
          <w:ilvl w:val="0"/>
          <w:numId w:val="1"/>
        </w:numPr>
        <w:spacing w:after="100"/>
      </w:pPr>
      <w:r>
        <w:t xml:space="preserve">Ninguna cifra de precio real para los niveles de servicio B2B ni para el reporte premium B2C (Fase 10): son estructuras conceptuales de paquete, no un tarifario.</w:t>
      </w:r>
    </w:p>
    <w:p>
      <w:pPr>
        <w:pStyle w:val="Heading1"/>
        <w:spacing w:after="200" w:before="400"/>
      </w:pPr>
      <w:r>
        <w:t xml:space="preserve">5. Lista de pendientes que requieren datos reales</w:t>
      </w:r>
    </w:p>
    <w:p>
      <w:pPr>
        <w:spacing w:after="120"/>
      </w:pPr>
      <w:r>
        <w:t xml:space="preserve">☐ Ejecutar el piloto de recolección de datos (Fase 8): mínimo 400-800 casos combinados B2C+B2B antes del primer análisis factorial.</w:t>
      </w:r>
    </w:p>
    <w:p>
      <w:pPr>
        <w:spacing w:after="120"/>
      </w:pPr>
      <w:r>
        <w:t xml:space="preserve">☐ Calcular la primera norma provisional (Fase 8): media, desviación estándar y percentiles reales del IGI, con al menos 300 casos.</w:t>
      </w:r>
    </w:p>
    <w:p>
      <w:pPr>
        <w:spacing w:after="120"/>
      </w:pPr>
      <w:r>
        <w:t xml:space="preserve">☐ Ejecutar el plan de validación completo (Fase 9): endoso/discriminación por ítem, alfa/omega, AFE/AFC, DIF, validez convergente/discriminante/criterial.</w:t>
      </w:r>
    </w:p>
    <w:p>
      <w:pPr>
        <w:spacing w:after="120"/>
      </w:pPr>
      <w:r>
        <w:t xml:space="preserve">☐ Definir los puntos de corte de riesgo (Bajo/Moderado/Alto) de forma empírica (Fase 9), reemplazando el uso ilustrativo de la Fase 7.</w:t>
      </w:r>
    </w:p>
    <w:p>
      <w:pPr>
        <w:spacing w:after="120"/>
      </w:pPr>
      <w:r>
        <w:t xml:space="preserve">☐ Evaluar la migración a TRI/IRT una vez exista volumen suficiente (Fase 9).</w:t>
      </w:r>
    </w:p>
    <w:p>
      <w:pPr>
        <w:spacing w:after="120"/>
      </w:pPr>
      <w:r>
        <w:t xml:space="preserve">☐ Recalibrar los pesos de las 12 dimensiones Núcleo (actualmente iguales, 1/12 cada una) si el análisis factorial lo justifica (Fase 6, Fase 9); recalibrar también, empresa por empresa, los pesos de la batería reducida que use cada puesto específico.</w:t>
      </w:r>
    </w:p>
    <w:p>
      <w:pPr>
        <w:pStyle w:val="Heading1"/>
        <w:spacing w:after="200" w:before="400"/>
      </w:pPr>
      <w:r>
        <w:t xml:space="preserve">6. Lista de pendientes que requieren decisión humana (de George)</w:t>
      </w:r>
    </w:p>
    <w:p>
      <w:pPr>
        <w:spacing w:after="120"/>
      </w:pPr>
      <w:r>
        <w:t xml:space="preserve">☐ Definir el nombre comercial del instrumento (reemplaza [NOMBRE DEL INSTRUMENTO] en los 11 documentos técnicos mediante una sola pasada de buscar-y-reemplazar, según lo previsto en DECISIONS.md).</w:t>
      </w:r>
    </w:p>
    <w:p>
      <w:pPr>
        <w:spacing w:after="120"/>
      </w:pPr>
      <w:r>
        <w:t xml:space="preserve">☐ Encargar la revisión legal de cumplimiento normativo para la versión B2B, por país objetivo de lanzamiento.</w:t>
      </w:r>
    </w:p>
    <w:p>
      <w:pPr>
        <w:spacing w:after="120"/>
      </w:pPr>
      <w:r>
        <w:t xml:space="preserve">☐ Decidir el precio real de cada nivel de servicio B2B (Starter/Team/Enterprise) y del reporte premium B2C (Fase 10, Secciones 3.4 y 2.5).</w:t>
      </w:r>
    </w:p>
    <w:p>
      <w:pPr>
        <w:spacing w:after="120"/>
      </w:pPr>
      <w:r>
        <w:t xml:space="preserve">☐ Decidir y validar editorialmente los nombres de los 'arquetipos de perfil' de la capa individual viral (Fase 10, Sección 2.3), incluyendo una revisión de sensibilidad para evitar etiquetas estigmatizantes.</w:t>
      </w:r>
    </w:p>
    <w:p>
      <w:pPr>
        <w:spacing w:after="120"/>
      </w:pPr>
      <w:r>
        <w:t xml:space="preserve">☐ Seleccionar las organizaciones piloto del canal B2B y negociar el acceso a datos de criterio externo (desempeño/incidentes) necesario para la validez de criterio (Fase 9).</w:t>
      </w:r>
    </w:p>
    <w:p>
      <w:pPr>
        <w:spacing w:after="120"/>
      </w:pPr>
      <w:r>
        <w:t xml:space="preserve">☐ Aprobar, para cada puesto o familia de puestos de un cliente B2B, qué dimensiones Adicionales y Contextuales se incluyen en la batería (la 'Regla de configuración por puesto' de DECISIONS.md define el criterio general, pero la selección concreta por puesto es una decisión operativa de cada implementación).</w:t>
      </w:r>
    </w:p>
    <w:p>
      <w:pPr>
        <w:spacing w:after="120"/>
      </w:pPr>
      <w:r>
        <w:t xml:space="preserve">☐ Decidir la plataforma técnica de implementación (web app, proveedor de hosting, motor de encuestas) — este proyecto entrega el diseño psicométrico y de producto, no una implementación de software.</w:t>
      </w:r>
    </w:p>
    <w:p>
      <w:pPr>
        <w:pStyle w:val="Heading1"/>
        <w:spacing w:after="200" w:before="400"/>
      </w:pPr>
      <w:r>
        <w:t xml:space="preserve">7. Checklist final antes de lanzar un piloto real</w:t>
      </w:r>
    </w:p>
    <w:p>
      <w:pPr>
        <w:spacing w:after="120"/>
      </w:pPr>
      <w:r>
        <w:t xml:space="preserve">☐ Nombre comercial definido y reemplazado en todos los documentos.</w:t>
      </w:r>
    </w:p>
    <w:p>
      <w:pPr>
        <w:spacing w:after="120"/>
      </w:pPr>
      <w:r>
        <w:t xml:space="preserve">☐ Consentimientos informados (investigación y evaluación laboral) redactados y revisados legalmente (Fase 8; Fase 10, Sección 3.2).</w:t>
      </w:r>
    </w:p>
    <w:p>
      <w:pPr>
        <w:spacing w:after="120"/>
      </w:pPr>
      <w:r>
        <w:t xml:space="preserve">☐ Implementación técnica del flujo de hasta 210 reactivos (según la batería configurada), con orden de presentación entrelazado entre dimensiones (Fase 10, Sección 2.2) y captura de las variables de contexto de la Fase 8.</w:t>
      </w:r>
    </w:p>
    <w:p>
      <w:pPr>
        <w:spacing w:after="120"/>
      </w:pPr>
      <w:r>
        <w:t xml:space="preserve">☐ Implementación de las fórmulas de la Fase 6 (idealmente derivadas directamente de Fase6_Matriz_Scoring.xlsx) en el sistema real, incluyendo el manejo de invalidación parcial/total (que solo afecta el color de presentación, nunca el número calculado) y la renormalización de pesos según la batería configurada por puesto.</w:t>
      </w:r>
    </w:p>
    <w:p>
      <w:pPr>
        <w:spacing w:after="120"/>
      </w:pPr>
      <w:r>
        <w:t xml:space="preserve">☐ Al menos 2-3 organizaciones piloto B2B confirmadas y al menos un canal de captación B2C activo, para alcanzar la meta de 400-800 casos de la Fase 8.</w:t>
      </w:r>
    </w:p>
    <w:p>
      <w:pPr>
        <w:spacing w:after="120"/>
      </w:pPr>
      <w:r>
        <w:t xml:space="preserve">☐ Plan de comunicación honesto sobre el estado 'piloto/early access' del instrumento, tanto en la capa individual como en la empresarial, dado que aún no cuenta con validación psicométrica completa.</w:t>
      </w:r>
    </w:p>
    <w:p>
      <w:pPr>
        <w:pStyle w:val="Heading1"/>
        <w:spacing w:after="200" w:before="400"/>
      </w:pPr>
      <w:r>
        <w:t xml:space="preserve">8. Cierre del proyecto</w:t>
      </w:r>
    </w:p>
    <w:p>
      <w:pPr>
        <w:spacing w:after="150"/>
      </w:pPr>
      <w:r>
        <w:t xml:space="preserve">Con este documento se cierra el diseño conceptual de la Versión 4 del instrumento. PROGRESS.json queda marcado como proyecto completo bajo esta versión. Cualquier ajuste futuro de fondo al constructo (nuevas dimensiones, cambios de nombre, cambios en la matemática del banco de reactivos) debe tratarse como una nueva revisión de constructo —igual a las ejecutadas el 2026-09-09 y el 2026-09-10— y documentarse en DECISIONS.md y ASSUMPTIONS.md antes de regenerar las fases afectadas, siguiendo el mismo patrón usado en estas revisiones.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2026-09-10T12:41:19.602Z</dcterms:created>
  <dcterms:modified xsi:type="dcterms:W3CDTF">2026-09-10T12:41:19.603Z</dcterms:modified>
</cp:coreProperties>
</file>

<file path=docProps/custom.xml><?xml version="1.0" encoding="utf-8"?>
<Properties xmlns="http://schemas.openxmlformats.org/officeDocument/2006/custom-properties" xmlns:vt="http://schemas.openxmlformats.org/officeDocument/2006/docPropsVTypes"/>
</file>