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40"/>
          <w:szCs w:val="40"/>
        </w:rPr>
        <w:t xml:space="preserve">Fase 7 — Ejemplo de Cálculo Paso a Paso</w:t>
      </w:r>
    </w:p>
    <w:p>
      <w:pPr>
        <w:spacing w:after="60"/>
        <w:jc w:val="center"/>
      </w:pPr>
      <w:r>
        <w:rPr>
          <w:i/>
          <w:iCs/>
        </w:rPr>
        <w:t xml:space="preserve">[NOMBRE DEL INSTRUMENTO] — Nuevo instrumento de evaluación de integridad laboral</w:t>
      </w:r>
    </w:p>
    <w:p>
      <w:pPr>
        <w:spacing w:after="60"/>
        <w:jc w:val="center"/>
      </w:pPr>
      <w:r>
        <w:rPr>
          <w:i/>
          <w:iCs/>
        </w:rPr>
        <w:t xml:space="preserve">Versión 4 — 21 dimensiones / 210 reactivos</w:t>
      </w:r>
    </w:p>
    <w:p>
      <w:pPr>
        <w:spacing w:after="300"/>
        <w:jc w:val="center"/>
      </w:pPr>
      <w:r>
        <w:rPr>
          <w:sz w:val="20"/>
          <w:szCs w:val="20"/>
        </w:rPr>
        <w:t xml:space="preserve">Preparado para: George (jsuasnavas@gmail.com) · Fecha: 10 de septiembre de 2026</w:t>
      </w:r>
    </w:p>
    <w:p>
      <w:pPr>
        <w:spacing w:after="150"/>
      </w:pPr>
      <w:r>
        <w:t xml:space="preserve">Este documento aplica la fórmula completa definida en la Fase 6 a un candidato ficticio ('Persona X'), con respuestas de ejemplo en reactivos reales del banco (Fases 3-5), mostrando cada paso del cálculo hasta el IGI, la aplicación de un indicador de validez, y el resultado final en ambas capas de salida del producto (perfil individual viral y reporte empresarial). Todos los datos de 'Persona X' son ficticios y se usan únicamente con fines ilustrativos del modelo de cálculo. Reemplaza íntegramente las versiones anteriores de esta fase, con reactivos, dimensiones y orientación del IGI ya actualizados a la Versión 4 (DECISIONS.md puntos 19 y 28).</w:t>
      </w:r>
    </w:p>
    <w:p>
      <w:pPr>
        <w:spacing w:after="150"/>
      </w:pPr>
      <w:r>
        <w:rPr>
          <w:b/>
          <w:bCs/>
        </w:rPr>
        <w:t xml:space="preserve">Convención de evidencia: </w:t>
      </w:r>
      <w:r>
        <w:t xml:space="preserve">[HECHO] = decisión ya aprobada por George en DECISIONS.md · [INFERENCIA] = derivado lógicamente de una decisión aprobada · [HIPÓTESIS] = elección razonable del equipo de diseño, no validada aún empíricamente · [DESCONOCIDO] = pendiente de dato piloto.</w:t>
      </w:r>
    </w:p>
    <w:p>
      <w:pPr>
        <w:spacing w:after="150"/>
      </w:pPr>
      <w:r>
        <w:rPr>
          <w:b/>
          <w:bCs/>
        </w:rPr>
        <w:t xml:space="preserve">[HECHO] </w:t>
      </w:r>
      <w:r>
        <w:t xml:space="preserve">Por simplicidad expositiva, este ejemplo usa los 10 reactivos completos de la Dimensión 1 (Robo, Núcleo — Base, R001-R010), los 10 de la Dimensión 9 (Acoso Sexual, Núcleo — Adicional, R081-R090), y los 10 de la Dimensión 19 (Ludopatía, Factor Contextual, R181-R190). Para las 10 dimensiones Núcleo restantes que normalmente completarían el IGI, se usa un valor de marcador (placeholder) explícito, dejado así para no simular estadísticas reales.</w:t>
      </w:r>
    </w:p>
    <w:p>
      <w:pPr>
        <w:pStyle w:val="Heading1"/>
        <w:spacing w:after="200" w:before="400"/>
      </w:pPr>
      <w:r>
        <w:t xml:space="preserve">1. Respuestas de 'Persona X' y transformación de cada reactivo — Dimensión 1 (Robo)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1200"/>
        <w:gridCol w:w="1900"/>
        <w:gridCol w:w="1900"/>
      </w:tblGrid>
      <w:tr>
        <w:tc>
          <w:tcPr>
            <w:tcW w:type="dxa" w:w="1000"/>
            <w:shd w:fill="D9D9D9" w:val="clear"/>
          </w:tcPr>
          <w:p>
            <w:r>
              <w:rPr>
                <w:b/>
                <w:bCs/>
              </w:rPr>
              <w:t xml:space="preserve">Reactivo</w:t>
            </w:r>
          </w:p>
        </w:tc>
        <w:tc>
          <w:tcPr>
            <w:tcW w:type="dxa" w:w="2400"/>
            <w:shd w:fill="D9D9D9" w:val="clear"/>
          </w:tcPr>
          <w:p>
            <w:r>
              <w:rPr>
                <w:b/>
                <w:bCs/>
              </w:rPr>
              <w:t xml:space="preserve">Tipo</w:t>
            </w:r>
          </w:p>
        </w:tc>
        <w:tc>
          <w:tcPr>
            <w:tcW w:type="dxa" w:w="1800"/>
            <w:shd w:fill="D9D9D9" w:val="clear"/>
          </w:tcPr>
          <w:p>
            <w:r>
              <w:rPr>
                <w:b/>
                <w:bCs/>
              </w:rPr>
              <w:t xml:space="preserve">Respuesta cruda / Max</w:t>
            </w:r>
          </w:p>
        </w:tc>
        <w:tc>
          <w:tcPr>
            <w:tcW w:type="dxa" w:w="1200"/>
            <w:shd w:fill="D9D9D9" w:val="clear"/>
          </w:tcPr>
          <w:p>
            <w:r>
              <w:rPr>
                <w:b/>
                <w:bCs/>
              </w:rPr>
              <w:t xml:space="preserve">Dirección</w:t>
            </w:r>
          </w:p>
        </w:tc>
        <w:tc>
          <w:tcPr>
            <w:tcW w:type="dxa" w:w="1900"/>
            <w:shd w:fill="D9D9D9" w:val="clear"/>
          </w:tcPr>
          <w:p>
            <w:r>
              <w:rPr>
                <w:b/>
                <w:bCs/>
              </w:rPr>
              <w:t xml:space="preserve">Valor transformado</w:t>
            </w:r>
          </w:p>
        </w:tc>
        <w:tc>
          <w:tcPr>
            <w:tcW w:type="dxa" w:w="1900"/>
            <w:shd w:fill="D9D9D9" w:val="clear"/>
          </w:tcPr>
          <w:p>
            <w:r>
              <w:rPr>
                <w:b/>
                <w:bCs/>
              </w:rPr>
              <w:t xml:space="preserve">Valor normalizado (0-1)</w:t>
            </w:r>
          </w:p>
        </w:tc>
      </w:tr>
      <w:tr>
        <w:tc>
          <w:tcPr>
            <w:tcW w:type="dxa" w:w="1000"/>
          </w:tcPr>
          <w:p>
            <w:r>
              <w:rPr>
                <w:b w:val="false"/>
                <w:bCs w:val="false"/>
              </w:rPr>
              <w:t xml:space="preserve">R001</w:t>
            </w:r>
          </w:p>
        </w:tc>
        <w:tc>
          <w:tcPr>
            <w:tcW w:type="dxa" w:w="2400"/>
          </w:tcPr>
          <w:p>
            <w:r>
              <w:rPr>
                <w:b w:val="false"/>
                <w:bCs w:val="false"/>
              </w:rPr>
              <w:t xml:space="preserve">Opinión/Actitud</w:t>
            </w:r>
          </w:p>
        </w:tc>
        <w:tc>
          <w:tcPr>
            <w:tcW w:type="dxa" w:w="1800"/>
          </w:tcPr>
          <w:p>
            <w:r>
              <w:rPr>
                <w:b w:val="false"/>
                <w:bCs w:val="false"/>
              </w:rPr>
              <w:t xml:space="preserve">3 / 4</w:t>
            </w:r>
          </w:p>
        </w:tc>
        <w:tc>
          <w:tcPr>
            <w:tcW w:type="dxa" w:w="1200"/>
          </w:tcPr>
          <w:p>
            <w:r>
              <w:rPr>
                <w:b w:val="false"/>
                <w:bCs w:val="false"/>
              </w:rPr>
              <w:t xml:space="preserve">Directo</w:t>
            </w:r>
          </w:p>
        </w:tc>
        <w:tc>
          <w:tcPr>
            <w:tcW w:type="dxa" w:w="1900"/>
          </w:tcPr>
          <w:p>
            <w:r>
              <w:rPr>
                <w:b w:val="false"/>
                <w:bCs w:val="false"/>
              </w:rPr>
              <w:t xml:space="preserve">3</w:t>
            </w:r>
          </w:p>
        </w:tc>
        <w:tc>
          <w:tcPr>
            <w:tcW w:type="dxa" w:w="1900"/>
          </w:tcPr>
          <w:p>
            <w:r>
              <w:rPr>
                <w:b w:val="false"/>
                <w:bCs w:val="false"/>
              </w:rPr>
              <w:t xml:space="preserve">0.75</w:t>
            </w:r>
          </w:p>
        </w:tc>
      </w:tr>
      <w:tr>
        <w:tc>
          <w:tcPr>
            <w:tcW w:type="dxa" w:w="1000"/>
          </w:tcPr>
          <w:p>
            <w:r>
              <w:rPr>
                <w:b w:val="false"/>
                <w:bCs w:val="false"/>
              </w:rPr>
              <w:t xml:space="preserve">R002</w:t>
            </w:r>
          </w:p>
        </w:tc>
        <w:tc>
          <w:tcPr>
            <w:tcW w:type="dxa" w:w="2400"/>
          </w:tcPr>
          <w:p>
            <w:r>
              <w:rPr>
                <w:b w:val="false"/>
                <w:bCs w:val="false"/>
              </w:rPr>
              <w:t xml:space="preserve">Intención futura</w:t>
            </w:r>
          </w:p>
        </w:tc>
        <w:tc>
          <w:tcPr>
            <w:tcW w:type="dxa" w:w="1800"/>
          </w:tcPr>
          <w:p>
            <w:r>
              <w:rPr>
                <w:b w:val="false"/>
                <w:bCs w:val="false"/>
              </w:rPr>
              <w:t xml:space="preserve">0 / 4</w:t>
            </w:r>
          </w:p>
        </w:tc>
        <w:tc>
          <w:tcPr>
            <w:tcW w:type="dxa" w:w="1200"/>
          </w:tcPr>
          <w:p>
            <w:r>
              <w:rPr>
                <w:b w:val="false"/>
                <w:bCs w:val="false"/>
              </w:rPr>
              <w:t xml:space="preserve">Inverso</w:t>
            </w:r>
          </w:p>
        </w:tc>
        <w:tc>
          <w:tcPr>
            <w:tcW w:type="dxa" w:w="1900"/>
          </w:tcPr>
          <w:p>
            <w:r>
              <w:rPr>
                <w:b w:val="false"/>
                <w:bCs w:val="false"/>
              </w:rPr>
              <w:t xml:space="preserve">4</w:t>
            </w:r>
          </w:p>
        </w:tc>
        <w:tc>
          <w:tcPr>
            <w:tcW w:type="dxa" w:w="1900"/>
          </w:tcPr>
          <w:p>
            <w:r>
              <w:rPr>
                <w:b w:val="false"/>
                <w:bCs w:val="false"/>
              </w:rPr>
              <w:t xml:space="preserve">1.00</w:t>
            </w:r>
          </w:p>
        </w:tc>
      </w:tr>
      <w:tr>
        <w:tc>
          <w:tcPr>
            <w:tcW w:type="dxa" w:w="1000"/>
          </w:tcPr>
          <w:p>
            <w:r>
              <w:rPr>
                <w:b w:val="false"/>
                <w:bCs w:val="false"/>
              </w:rPr>
              <w:t xml:space="preserve">R003</w:t>
            </w:r>
          </w:p>
        </w:tc>
        <w:tc>
          <w:tcPr>
            <w:tcW w:type="dxa" w:w="2400"/>
          </w:tcPr>
          <w:p>
            <w:r>
              <w:rPr>
                <w:b w:val="false"/>
                <w:bCs w:val="false"/>
              </w:rPr>
              <w:t xml:space="preserve">Involucramiento pasado</w:t>
            </w:r>
          </w:p>
        </w:tc>
        <w:tc>
          <w:tcPr>
            <w:tcW w:type="dxa" w:w="1800"/>
          </w:tcPr>
          <w:p>
            <w:r>
              <w:rPr>
                <w:b w:val="false"/>
                <w:bCs w:val="false"/>
              </w:rPr>
              <w:t xml:space="preserve">1 / 4</w:t>
            </w:r>
          </w:p>
        </w:tc>
        <w:tc>
          <w:tcPr>
            <w:tcW w:type="dxa" w:w="1200"/>
          </w:tcPr>
          <w:p>
            <w:r>
              <w:rPr>
                <w:b w:val="false"/>
                <w:bCs w:val="false"/>
              </w:rPr>
              <w:t xml:space="preserve">Directo</w:t>
            </w:r>
          </w:p>
        </w:tc>
        <w:tc>
          <w:tcPr>
            <w:tcW w:type="dxa" w:w="1900"/>
          </w:tcPr>
          <w:p>
            <w:r>
              <w:rPr>
                <w:b w:val="false"/>
                <w:bCs w:val="false"/>
              </w:rPr>
              <w:t xml:space="preserve">1</w:t>
            </w:r>
          </w:p>
        </w:tc>
        <w:tc>
          <w:tcPr>
            <w:tcW w:type="dxa" w:w="1900"/>
          </w:tcPr>
          <w:p>
            <w:r>
              <w:rPr>
                <w:b w:val="false"/>
                <w:bCs w:val="false"/>
              </w:rPr>
              <w:t xml:space="preserve">0.25</w:t>
            </w:r>
          </w:p>
        </w:tc>
      </w:tr>
      <w:tr>
        <w:tc>
          <w:tcPr>
            <w:tcW w:type="dxa" w:w="1000"/>
          </w:tcPr>
          <w:p>
            <w:r>
              <w:rPr>
                <w:b w:val="false"/>
                <w:bCs w:val="false"/>
              </w:rPr>
              <w:t xml:space="preserve">R004</w:t>
            </w:r>
          </w:p>
        </w:tc>
        <w:tc>
          <w:tcPr>
            <w:tcW w:type="dxa" w:w="2400"/>
          </w:tcPr>
          <w:p>
            <w:r>
              <w:rPr>
                <w:b w:val="false"/>
                <w:bCs w:val="false"/>
              </w:rPr>
              <w:t xml:space="preserve">Escenario/dilema</w:t>
            </w:r>
          </w:p>
        </w:tc>
        <w:tc>
          <w:tcPr>
            <w:tcW w:type="dxa" w:w="1800"/>
          </w:tcPr>
          <w:p>
            <w:r>
              <w:rPr>
                <w:b w:val="false"/>
                <w:bCs w:val="false"/>
              </w:rPr>
              <w:t xml:space="preserve">0 / 3</w:t>
            </w:r>
          </w:p>
        </w:tc>
        <w:tc>
          <w:tcPr>
            <w:tcW w:type="dxa" w:w="1200"/>
          </w:tcPr>
          <w:p>
            <w:r>
              <w:rPr>
                <w:b w:val="false"/>
                <w:bCs w:val="false"/>
              </w:rPr>
              <w:t xml:space="preserve">Directo</w:t>
            </w:r>
          </w:p>
        </w:tc>
        <w:tc>
          <w:tcPr>
            <w:tcW w:type="dxa" w:w="1900"/>
          </w:tcPr>
          <w:p>
            <w:r>
              <w:rPr>
                <w:b w:val="false"/>
                <w:bCs w:val="false"/>
              </w:rPr>
              <w:t xml:space="preserve">0</w:t>
            </w:r>
          </w:p>
        </w:tc>
        <w:tc>
          <w:tcPr>
            <w:tcW w:type="dxa" w:w="1900"/>
          </w:tcPr>
          <w:p>
            <w:r>
              <w:rPr>
                <w:b w:val="false"/>
                <w:bCs w:val="false"/>
              </w:rPr>
              <w:t xml:space="preserve">0.00</w:t>
            </w:r>
          </w:p>
        </w:tc>
      </w:tr>
      <w:tr>
        <w:tc>
          <w:tcPr>
            <w:tcW w:type="dxa" w:w="1000"/>
          </w:tcPr>
          <w:p>
            <w:r>
              <w:rPr>
                <w:b w:val="false"/>
                <w:bCs w:val="false"/>
              </w:rPr>
              <w:t xml:space="preserve">R005</w:t>
            </w:r>
          </w:p>
        </w:tc>
        <w:tc>
          <w:tcPr>
            <w:tcW w:type="dxa" w:w="2400"/>
          </w:tcPr>
          <w:p>
            <w:r>
              <w:rPr>
                <w:b w:val="false"/>
                <w:bCs w:val="false"/>
              </w:rPr>
              <w:t xml:space="preserve">Percepción de terceros</w:t>
            </w:r>
          </w:p>
        </w:tc>
        <w:tc>
          <w:tcPr>
            <w:tcW w:type="dxa" w:w="1800"/>
          </w:tcPr>
          <w:p>
            <w:r>
              <w:rPr>
                <w:b w:val="false"/>
                <w:bCs w:val="false"/>
              </w:rPr>
              <w:t xml:space="preserve">1 / 3</w:t>
            </w:r>
          </w:p>
        </w:tc>
        <w:tc>
          <w:tcPr>
            <w:tcW w:type="dxa" w:w="1200"/>
          </w:tcPr>
          <w:p>
            <w:r>
              <w:rPr>
                <w:b w:val="false"/>
                <w:bCs w:val="false"/>
              </w:rPr>
              <w:t xml:space="preserve">Directo</w:t>
            </w:r>
          </w:p>
        </w:tc>
        <w:tc>
          <w:tcPr>
            <w:tcW w:type="dxa" w:w="1900"/>
          </w:tcPr>
          <w:p>
            <w:r>
              <w:rPr>
                <w:b w:val="false"/>
                <w:bCs w:val="false"/>
              </w:rPr>
              <w:t xml:space="preserve">1</w:t>
            </w:r>
          </w:p>
        </w:tc>
        <w:tc>
          <w:tcPr>
            <w:tcW w:type="dxa" w:w="1900"/>
          </w:tcPr>
          <w:p>
            <w:r>
              <w:rPr>
                <w:b w:val="false"/>
                <w:bCs w:val="false"/>
              </w:rPr>
              <w:t xml:space="preserve">0.33</w:t>
            </w:r>
          </w:p>
        </w:tc>
      </w:tr>
      <w:tr>
        <w:tc>
          <w:tcPr>
            <w:tcW w:type="dxa" w:w="1000"/>
          </w:tcPr>
          <w:p>
            <w:r>
              <w:rPr>
                <w:b w:val="false"/>
                <w:bCs w:val="false"/>
              </w:rPr>
              <w:t xml:space="preserve">R006</w:t>
            </w:r>
          </w:p>
        </w:tc>
        <w:tc>
          <w:tcPr>
            <w:tcW w:type="dxa" w:w="2400"/>
          </w:tcPr>
          <w:p>
            <w:r>
              <w:rPr>
                <w:b w:val="false"/>
                <w:bCs w:val="false"/>
              </w:rPr>
              <w:t xml:space="preserve">Opinión/Actitud</w:t>
            </w:r>
          </w:p>
        </w:tc>
        <w:tc>
          <w:tcPr>
            <w:tcW w:type="dxa" w:w="1800"/>
          </w:tcPr>
          <w:p>
            <w:r>
              <w:rPr>
                <w:b w:val="false"/>
                <w:bCs w:val="false"/>
              </w:rPr>
              <w:t xml:space="preserve">0 / 4</w:t>
            </w:r>
          </w:p>
        </w:tc>
        <w:tc>
          <w:tcPr>
            <w:tcW w:type="dxa" w:w="1200"/>
          </w:tcPr>
          <w:p>
            <w:r>
              <w:rPr>
                <w:b w:val="false"/>
                <w:bCs w:val="false"/>
              </w:rPr>
              <w:t xml:space="preserve">Directo</w:t>
            </w:r>
          </w:p>
        </w:tc>
        <w:tc>
          <w:tcPr>
            <w:tcW w:type="dxa" w:w="1900"/>
          </w:tcPr>
          <w:p>
            <w:r>
              <w:rPr>
                <w:b w:val="false"/>
                <w:bCs w:val="false"/>
              </w:rPr>
              <w:t xml:space="preserve">0</w:t>
            </w:r>
          </w:p>
        </w:tc>
        <w:tc>
          <w:tcPr>
            <w:tcW w:type="dxa" w:w="1900"/>
          </w:tcPr>
          <w:p>
            <w:r>
              <w:rPr>
                <w:b w:val="false"/>
                <w:bCs w:val="false"/>
              </w:rPr>
              <w:t xml:space="preserve">0.00</w:t>
            </w:r>
          </w:p>
        </w:tc>
      </w:tr>
      <w:tr>
        <w:tc>
          <w:tcPr>
            <w:tcW w:type="dxa" w:w="1000"/>
          </w:tcPr>
          <w:p>
            <w:r>
              <w:rPr>
                <w:b w:val="false"/>
                <w:bCs w:val="false"/>
              </w:rPr>
              <w:t xml:space="preserve">R007</w:t>
            </w:r>
          </w:p>
        </w:tc>
        <w:tc>
          <w:tcPr>
            <w:tcW w:type="dxa" w:w="2400"/>
          </w:tcPr>
          <w:p>
            <w:r>
              <w:rPr>
                <w:b w:val="false"/>
                <w:bCs w:val="false"/>
              </w:rPr>
              <w:t xml:space="preserve">Involucramiento pasado</w:t>
            </w:r>
          </w:p>
        </w:tc>
        <w:tc>
          <w:tcPr>
            <w:tcW w:type="dxa" w:w="1800"/>
          </w:tcPr>
          <w:p>
            <w:r>
              <w:rPr>
                <w:b w:val="false"/>
                <w:bCs w:val="false"/>
              </w:rPr>
              <w:t xml:space="preserve">1 / 4</w:t>
            </w:r>
          </w:p>
        </w:tc>
        <w:tc>
          <w:tcPr>
            <w:tcW w:type="dxa" w:w="1200"/>
          </w:tcPr>
          <w:p>
            <w:r>
              <w:rPr>
                <w:b w:val="false"/>
                <w:bCs w:val="false"/>
              </w:rPr>
              <w:t xml:space="preserve">Directo</w:t>
            </w:r>
          </w:p>
        </w:tc>
        <w:tc>
          <w:tcPr>
            <w:tcW w:type="dxa" w:w="1900"/>
          </w:tcPr>
          <w:p>
            <w:r>
              <w:rPr>
                <w:b w:val="false"/>
                <w:bCs w:val="false"/>
              </w:rPr>
              <w:t xml:space="preserve">1</w:t>
            </w:r>
          </w:p>
        </w:tc>
        <w:tc>
          <w:tcPr>
            <w:tcW w:type="dxa" w:w="1900"/>
          </w:tcPr>
          <w:p>
            <w:r>
              <w:rPr>
                <w:b w:val="false"/>
                <w:bCs w:val="false"/>
              </w:rPr>
              <w:t xml:space="preserve">0.25</w:t>
            </w:r>
          </w:p>
        </w:tc>
      </w:tr>
      <w:tr>
        <w:tc>
          <w:tcPr>
            <w:tcW w:type="dxa" w:w="1000"/>
          </w:tcPr>
          <w:p>
            <w:r>
              <w:rPr>
                <w:b w:val="false"/>
                <w:bCs w:val="false"/>
              </w:rPr>
              <w:t xml:space="preserve">R008</w:t>
            </w:r>
          </w:p>
        </w:tc>
        <w:tc>
          <w:tcPr>
            <w:tcW w:type="dxa" w:w="2400"/>
          </w:tcPr>
          <w:p>
            <w:r>
              <w:rPr>
                <w:b w:val="false"/>
                <w:bCs w:val="false"/>
              </w:rPr>
              <w:t xml:space="preserve">Intención futura</w:t>
            </w:r>
          </w:p>
        </w:tc>
        <w:tc>
          <w:tcPr>
            <w:tcW w:type="dxa" w:w="1800"/>
          </w:tcPr>
          <w:p>
            <w:r>
              <w:rPr>
                <w:b w:val="false"/>
                <w:bCs w:val="false"/>
              </w:rPr>
              <w:t xml:space="preserve">3 / 4</w:t>
            </w:r>
          </w:p>
        </w:tc>
        <w:tc>
          <w:tcPr>
            <w:tcW w:type="dxa" w:w="1200"/>
          </w:tcPr>
          <w:p>
            <w:r>
              <w:rPr>
                <w:b w:val="false"/>
                <w:bCs w:val="false"/>
              </w:rPr>
              <w:t xml:space="preserve">Inverso</w:t>
            </w:r>
          </w:p>
        </w:tc>
        <w:tc>
          <w:tcPr>
            <w:tcW w:type="dxa" w:w="1900"/>
          </w:tcPr>
          <w:p>
            <w:r>
              <w:rPr>
                <w:b w:val="false"/>
                <w:bCs w:val="false"/>
              </w:rPr>
              <w:t xml:space="preserve">1</w:t>
            </w:r>
          </w:p>
        </w:tc>
        <w:tc>
          <w:tcPr>
            <w:tcW w:type="dxa" w:w="1900"/>
          </w:tcPr>
          <w:p>
            <w:r>
              <w:rPr>
                <w:b w:val="false"/>
                <w:bCs w:val="false"/>
              </w:rPr>
              <w:t xml:space="preserve">0.25</w:t>
            </w:r>
          </w:p>
        </w:tc>
      </w:tr>
      <w:tr>
        <w:tc>
          <w:tcPr>
            <w:tcW w:type="dxa" w:w="1000"/>
          </w:tcPr>
          <w:p>
            <w:r>
              <w:rPr>
                <w:b w:val="false"/>
                <w:bCs w:val="false"/>
              </w:rPr>
              <w:t xml:space="preserve">R009</w:t>
            </w:r>
          </w:p>
        </w:tc>
        <w:tc>
          <w:tcPr>
            <w:tcW w:type="dxa" w:w="2400"/>
          </w:tcPr>
          <w:p>
            <w:r>
              <w:rPr>
                <w:b w:val="false"/>
                <w:bCs w:val="false"/>
              </w:rPr>
              <w:t xml:space="preserve">Escenario/dilema</w:t>
            </w:r>
          </w:p>
        </w:tc>
        <w:tc>
          <w:tcPr>
            <w:tcW w:type="dxa" w:w="1800"/>
          </w:tcPr>
          <w:p>
            <w:r>
              <w:rPr>
                <w:b w:val="false"/>
                <w:bCs w:val="false"/>
              </w:rPr>
              <w:t xml:space="preserve">1 / 3</w:t>
            </w:r>
          </w:p>
        </w:tc>
        <w:tc>
          <w:tcPr>
            <w:tcW w:type="dxa" w:w="1200"/>
          </w:tcPr>
          <w:p>
            <w:r>
              <w:rPr>
                <w:b w:val="false"/>
                <w:bCs w:val="false"/>
              </w:rPr>
              <w:t xml:space="preserve">Directo</w:t>
            </w:r>
          </w:p>
        </w:tc>
        <w:tc>
          <w:tcPr>
            <w:tcW w:type="dxa" w:w="1900"/>
          </w:tcPr>
          <w:p>
            <w:r>
              <w:rPr>
                <w:b w:val="false"/>
                <w:bCs w:val="false"/>
              </w:rPr>
              <w:t xml:space="preserve">1</w:t>
            </w:r>
          </w:p>
        </w:tc>
        <w:tc>
          <w:tcPr>
            <w:tcW w:type="dxa" w:w="1900"/>
          </w:tcPr>
          <w:p>
            <w:r>
              <w:rPr>
                <w:b w:val="false"/>
                <w:bCs w:val="false"/>
              </w:rPr>
              <w:t xml:space="preserve">0.33</w:t>
            </w:r>
          </w:p>
        </w:tc>
      </w:tr>
      <w:tr>
        <w:tc>
          <w:tcPr>
            <w:tcW w:type="dxa" w:w="1000"/>
          </w:tcPr>
          <w:p>
            <w:r>
              <w:rPr>
                <w:b w:val="false"/>
                <w:bCs w:val="false"/>
              </w:rPr>
              <w:t xml:space="preserve">R010</w:t>
            </w:r>
          </w:p>
        </w:tc>
        <w:tc>
          <w:tcPr>
            <w:tcW w:type="dxa" w:w="2400"/>
          </w:tcPr>
          <w:p>
            <w:r>
              <w:rPr>
                <w:b w:val="false"/>
                <w:bCs w:val="false"/>
              </w:rPr>
              <w:t xml:space="preserve">Percepción de terceros</w:t>
            </w:r>
          </w:p>
        </w:tc>
        <w:tc>
          <w:tcPr>
            <w:tcW w:type="dxa" w:w="1800"/>
          </w:tcPr>
          <w:p>
            <w:r>
              <w:rPr>
                <w:b w:val="false"/>
                <w:bCs w:val="false"/>
              </w:rPr>
              <w:t xml:space="preserve">0 / 3</w:t>
            </w:r>
          </w:p>
        </w:tc>
        <w:tc>
          <w:tcPr>
            <w:tcW w:type="dxa" w:w="1200"/>
          </w:tcPr>
          <w:p>
            <w:r>
              <w:rPr>
                <w:b w:val="false"/>
                <w:bCs w:val="false"/>
              </w:rPr>
              <w:t xml:space="preserve">Directo</w:t>
            </w:r>
          </w:p>
        </w:tc>
        <w:tc>
          <w:tcPr>
            <w:tcW w:type="dxa" w:w="1900"/>
          </w:tcPr>
          <w:p>
            <w:r>
              <w:rPr>
                <w:b w:val="false"/>
                <w:bCs w:val="false"/>
              </w:rPr>
              <w:t xml:space="preserve">0</w:t>
            </w:r>
          </w:p>
        </w:tc>
        <w:tc>
          <w:tcPr>
            <w:tcW w:type="dxa" w:w="1900"/>
          </w:tcPr>
          <w:p>
            <w:r>
              <w:rPr>
                <w:b w:val="false"/>
                <w:bCs w:val="false"/>
              </w:rPr>
              <w:t xml:space="preserve">0.00</w:t>
            </w:r>
          </w:p>
        </w:tc>
      </w:tr>
    </w:tbl>
    <w:p>
      <w:pPr>
        <w:spacing w:after="200"/>
      </w:pPr>
    </w:p>
    <w:p>
      <w:pPr>
        <w:spacing w:after="150"/>
      </w:pPr>
      <w:r>
        <w:t xml:space="preserve">Cada valor se ajusta según su dirección (Paso 1 de la Fase 6): en los reactivos Directos, el valor transformado es igual a la respuesta cruda; en los reactivos Inversos (R002, R008), el valor transformado es Valor_máximo menos la respuesta cruda. Después, cada valor se normaliza dividiéndolo entre su propio Valor_máximo (Paso 2), quedando siempre en una escala de 0 (menor riesgo) a 1 (mayor riesgo), sin importar la dirección del reactivo.</w:t>
      </w:r>
    </w:p>
    <w:p>
      <w:pPr>
        <w:pStyle w:val="Heading1"/>
        <w:spacing w:after="200" w:before="400"/>
      </w:pPr>
      <w:r>
        <w:t xml:space="preserve">2. Puntaje de dimensión (Paso 3)</w:t>
      </w:r>
    </w:p>
    <w:p>
      <w:pPr>
        <w:spacing w:after="150"/>
      </w:pPr>
      <w:r>
        <w:t xml:space="preserve">Dimensión 1 — Robo: promedio de los 10 valores normalizados de la tabla anterior = 0.317 (riesgo, 0-1).</w:t>
      </w:r>
    </w:p>
    <w:p>
      <w:pPr>
        <w:spacing w:after="150"/>
      </w:pPr>
      <w:r>
        <w:t xml:space="preserve">Dimensión 9 — Acoso Sexual: con un patrón de respuestas de bajo riesgo en sus 10 reactivos (R081-R090), el puntaje de la dimensión en este ejemplo es 0.000 (riesgo, 0-1).</w:t>
      </w:r>
    </w:p>
    <w:p>
      <w:pPr>
        <w:spacing w:after="150"/>
      </w:pPr>
      <w:r>
        <w:t xml:space="preserve">Dimensión 19 — Ludopatía (Factor Contextual): con sus 10 reactivos (R181-R190), el puntaje de la dimensión en este ejemplo es 0.500 (riesgo, 0-1). Al ser una dimensión Contextual, este puntaje se reporta aparte y NUNCA se suma al PRB ni al IGI (ver Fase 6, Sección 5), aunque desde la Versión 4 tenga el mismo número de reactivos y pares espejo que las dimensiones Núcleo.</w:t>
      </w:r>
    </w:p>
    <w:p>
      <w:pPr>
        <w:spacing w:after="150"/>
      </w:pPr>
      <w:r>
        <w:rPr>
          <w:b/>
          <w:bCs/>
        </w:rPr>
        <w:t xml:space="preserve">[HIPÓTESIS] </w:t>
      </w:r>
      <w:r>
        <w:t xml:space="preserve"> Para las 10 dimensiones Núcleo restantes no evaluadas en este ejemplo abreviado (Mentira, Fraude, Irresponsabilidad, Soborno, Deslealtad, Favoritismo, Abuso de Recursos, Maltrato Laboral, Discriminación y Asociación Criminal), se asigna un valor de marcador de 0.30 (riesgo, 0-1) a cada una, únicamente para poder ilustrar la fórmula de ponderación completa de la Sección 3. Este valor NO proviene de ningún dato real ni de 'Persona X'; es un supuesto de demostración explícito.</w:t>
      </w:r>
    </w:p>
    <w:p>
      <w:pPr>
        <w:pStyle w:val="Heading1"/>
        <w:spacing w:after="200" w:before="400"/>
      </w:pPr>
      <w:r>
        <w:t xml:space="preserve">3. Ponderación y cálculo del Puntaje de Riesgo Base (PRB), antes de validez</w:t>
      </w:r>
    </w:p>
    <w:p>
      <w:pPr>
        <w:spacing w:after="150"/>
      </w:pPr>
      <w:r>
        <w:t xml:space="preserve">Con pesos iguales de 1/12 ≈ 8.33% para cada una de las 12 dimensiones Núcleo (Fase 6, Sección 5):</w:t>
      </w:r>
    </w:p>
    <w:p>
      <w:pPr>
        <w:spacing w:after="150"/>
      </w:pPr>
      <w:r>
        <w:rPr>
          <w:rFonts w:ascii="Courier New" w:cs="Courier New" w:eastAsia="Courier New" w:hAnsi="Courier New"/>
        </w:rPr>
        <w:t xml:space="preserve">PRB_preliminar = (0.317×1/12) + (0.000×1/12) + (0.30×1/12)×10 dimensiones restantes</w:t>
      </w:r>
    </w:p>
    <w:p>
      <w:pPr>
        <w:spacing w:after="150"/>
      </w:pPr>
      <w:r>
        <w:rPr>
          <w:rFonts w:ascii="Courier New" w:cs="Courier New" w:eastAsia="Courier New" w:hAnsi="Courier New"/>
        </w:rPr>
        <w:t xml:space="preserve">PRB_preliminar = 0.0264 + 0.0000 + 0.2500 = 0.2764</w:t>
      </w:r>
    </w:p>
    <w:p>
      <w:pPr>
        <w:spacing w:after="150"/>
      </w:pPr>
      <w:r>
        <w:rPr>
          <w:rFonts w:ascii="Courier New" w:cs="Courier New" w:eastAsia="Courier New" w:hAnsi="Courier New"/>
        </w:rPr>
        <w:t xml:space="preserve">IGI_preliminar = (1 − PRB_preliminar) × 100 × 0.95 = (1 − 0.2764) × 100 × 0.95 ≈ 68.74 / 95</w:t>
      </w:r>
    </w:p>
    <w:p>
      <w:pPr>
        <w:pStyle w:val="Heading1"/>
        <w:spacing w:after="200" w:before="400"/>
      </w:pPr>
      <w:r>
        <w:t xml:space="preserve">4. Aplicación de un indicador de validez: Contradicción en el par espejo 1 de la Dimensión 1</w:t>
      </w:r>
    </w:p>
    <w:p>
      <w:pPr>
        <w:spacing w:after="150"/>
      </w:pPr>
      <w:r>
        <w:t xml:space="preserve">R001 (Opinión/Actitud, Directo) y R002 (Intención futura, Inverso) forman el Par espejo 1 de la Dimensión 1 — Robo, definido en la Fase 2 (Sección 4). Sus valores normalizados son 0.75 (R001) y 1.00 (R002): la regla de tolerancia de la Fase 2 marca esto como una contradicción, porque ambas caen en el polo de ALTO riesgo — 'de acuerdo' con la racionalización de la sustracción (R001), y a la vez 'en desacuerdo' con la intención de reportar una sustracción ajena (R002) —, cuando el par espejo espera que una actitud de alto riesgo se refleje también en una intención más débil de actuar con integridad, no que ambas coincidan de forma perfectamente consistente en el mismo extremo sin matices; en este ejemplo se usa deliberadamente para ilustrar el mecanismo, no como caso típico.</w:t>
      </w:r>
    </w:p>
    <w:p>
      <w:pPr>
        <w:spacing w:after="150"/>
      </w:pPr>
      <w:r>
        <w:t xml:space="preserve">El Par espejo 1 de la Dimensión 9 (R081-R082) no muestra contradicción: ambos reactivos coinciden en el polo de menor riesgo, por lo que es consistente.</w:t>
      </w:r>
    </w:p>
    <w:p>
      <w:pPr>
        <w:pStyle w:val="Heading1"/>
        <w:spacing w:after="200" w:before="400"/>
      </w:pPr>
      <w:r>
        <w:t xml:space="preserve">5. Invalidación parcial: el número NO cambia, solo su color de presentación</w:t>
      </w:r>
    </w:p>
    <w:p>
      <w:pPr>
        <w:spacing w:after="150"/>
      </w:pPr>
      <w:r>
        <w:rPr>
          <w:b/>
          <w:bCs/>
        </w:rPr>
        <w:t xml:space="preserve">[HECHO] </w:t>
      </w:r>
      <w:r>
        <w:t xml:space="preserve"> George corrigió (2026-09-10, DECISIONS.md punto 23) que la invalidación nunca debe cambiar el número calculado. Conforme a la Fase 2 (Sección 5.5) y a la Fase 6 (Sección 10), 1 contradicción detectada en un par espejo invalida parcialmente esa dimensión, pero la Dimensión 1 — Robo SIGUE calculándose y SIGUE entrando al PRB/IGI con su valor real; lo único que cambia es que se muestra en color gris con una advertencia, en vez de su color de semáforo normal.</w:t>
      </w:r>
    </w:p>
    <w:p>
      <w:pPr>
        <w:spacing w:after="150"/>
      </w:pPr>
      <w:r>
        <w:t xml:space="preserve">Por lo tanto, el PRB y el IGI finales de 'Persona X' son exactamente los mismos que el preliminar de la Sección 3 — no hay exclusión ni renormalización de pesos:</w:t>
      </w:r>
    </w:p>
    <w:p>
      <w:pPr>
        <w:spacing w:after="150"/>
      </w:pPr>
      <w:r>
        <w:rPr>
          <w:rFonts w:ascii="Courier New" w:cs="Courier New" w:eastAsia="Courier New" w:hAnsi="Courier New"/>
        </w:rPr>
        <w:t xml:space="preserve">PRB_final = PRB_preliminar = 0.2764</w:t>
      </w:r>
    </w:p>
    <w:p>
      <w:pPr>
        <w:spacing w:after="150"/>
      </w:pPr>
      <w:r>
        <w:rPr>
          <w:rFonts w:ascii="Courier New" w:cs="Courier New" w:eastAsia="Courier New" w:hAnsi="Courier New"/>
        </w:rPr>
        <w:t xml:space="preserve">IGI_final = (1 − 0.2764) × 100 × 0.95 ≈ 68.74 / 95</w:t>
      </w:r>
    </w:p>
    <w:p>
      <w:pPr>
        <w:spacing w:after="150"/>
      </w:pPr>
      <w:r>
        <w:t xml:space="preserve">Como no hubo invalidación total (solo 1 contradicción, por debajo del umbral de la Fase 2 Sección 5.4 que definiría invalidación total), el resultado de 'Persona X' sigue siendo válido para uso en la capa de decisión empresarial. La Dimensión 1 — Robo se muestra en color GRIS (en vez de su color de semáforo) con una nota explícita de que mostró un patrón de respuesta inconsistente y debe interpretarse con cautela adicional (por ejemplo, complementando con una entrevista dirigida a esa dimensión específica); el resto del IGI y de las demás dimensiones se muestra con su color de semáforo normal.</w:t>
      </w:r>
    </w:p>
    <w:p>
      <w:pPr>
        <w:pStyle w:val="Heading1"/>
        <w:spacing w:after="200" w:before="400"/>
      </w:pPr>
      <w:r>
        <w:t xml:space="preserve">6. Resultado en la capa individual (perfil viral)</w:t>
      </w:r>
    </w:p>
    <w:p>
      <w:pPr>
        <w:spacing w:after="150"/>
      </w:pPr>
      <w:r>
        <w:t xml:space="preserve">Encabezado del perfil: 'Tu Índice General de Integridad: 69/95' (IGI_final, redondeado), con su color de semáforo según el nivel de corte que le corresponda (Fase 6, Sección 9; percentiles exactos pendientes de muestra piloto).</w:t>
      </w:r>
    </w:p>
    <w:p>
      <w:pPr>
        <w:spacing w:after="150"/>
      </w:pPr>
      <w:r>
        <w:t xml:space="preserve">Nota de transparencia (Fase 6, Sección 10, y Fase 10, Sección 2.3): la Dimensión 1 — Robo se muestra en gris con un mensaje breve indicando que esa sección del test mostró respuestas poco consistentes entre sí, invitando a revisar esa sección si la persona lo desea. El número de esa dimensión se sigue mostrando; no se oculta ni se excluye.</w:t>
      </w:r>
    </w:p>
    <w:p>
      <w:pPr>
        <w:spacing w:after="150"/>
      </w:pPr>
      <w:r>
        <w:t xml:space="preserve">Puntaje de Ludopatía (Factor Contextual, reportado aparte): IGI_dimensión ≈ 47.5 / 95, sin afectar el IGI general.</w:t>
      </w:r>
    </w:p>
    <w:p>
      <w:pPr>
        <w:pStyle w:val="Heading1"/>
        <w:spacing w:after="200" w:before="400"/>
      </w:pPr>
      <w:r>
        <w:t xml:space="preserve">7. Resultado en la capa empresarial (reporte de riesgo)</w:t>
      </w:r>
    </w:p>
    <w:p>
      <w:pPr>
        <w:spacing w:after="150"/>
      </w:pPr>
      <w:r>
        <w:t xml:space="preserve">IGI final reportado al reclutador: 68.7/95, con la salvedad de la Dimensión 1 — Robo mostrada en gris por inconsistencia en su Par espejo 1 (mismo número, presentación distinta).</w:t>
      </w:r>
    </w:p>
    <w:p>
      <w:pPr>
        <w:spacing w:after="150"/>
      </w:pPr>
      <w:r>
        <w:t xml:space="preserve">Recomendación operativa [HIPÓTESIS, no vinculante]: dado que la Dimensión 1 (Robo) forma parte de la Base obligatoria del instrumento y su par espejo mostró inconsistencia, se sugiere al reclutador no descartar candidatos únicamente por este resultado, sino complementar con una pregunta dirigida en la entrevista sobre manejo de bienes/recursos ajenos antes de tomar una decisión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2026-09-10T12:41:19.321Z</dcterms:created>
  <dcterms:modified xsi:type="dcterms:W3CDTF">2026-09-10T12:41:19.321Z</dcterms:modified>
</cp:coreProperties>
</file>

<file path=docProps/custom.xml><?xml version="1.0" encoding="utf-8"?>
<Properties xmlns="http://schemas.openxmlformats.org/officeDocument/2006/custom-properties" xmlns:vt="http://schemas.openxmlformats.org/officeDocument/2006/docPropsVTypes"/>
</file>