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Fase 8 — Marco de Normas y Plan de Recolección</w:t>
      </w:r>
    </w:p>
    <w:p>
      <w:pPr>
        <w:spacing w:after="140"/>
      </w:pPr>
      <w:r>
        <w:rPr>
          <w:rFonts w:ascii="Calibri" w:cs="Calibri" w:eastAsia="Calibri" w:hAnsi="Calibri"/>
          <w:i/>
          <w:iCs/>
          <w:sz w:val="22"/>
          <w:szCs w:val="22"/>
        </w:rPr>
        <w:t xml:space="preserve">[NOMBRE DEL INSTRUMENTO] — Nuevo instrumento de evaluación de integridad laboral</w:t>
      </w:r>
    </w:p>
    <w:p>
      <w:pPr>
        <w:spacing w:after="140"/>
      </w:pPr>
      <w:r>
        <w:rPr>
          <w:rFonts w:ascii="Calibri" w:cs="Calibri" w:eastAsia="Calibri" w:hAnsi="Calibri"/>
          <w:sz w:val="22"/>
          <w:szCs w:val="22"/>
        </w:rPr>
        <w:t xml:space="preserve">Preparado para: George (jsuasnavas@gmail.com)</w:t>
      </w:r>
    </w:p>
    <w:p>
      <w:pPr>
        <w:spacing w:after="140"/>
      </w:pPr>
      <w:r>
        <w:rPr>
          <w:rFonts w:ascii="Calibri" w:cs="Calibri" w:eastAsia="Calibri" w:hAnsi="Calibri"/>
          <w:sz w:val="22"/>
          <w:szCs w:val="22"/>
        </w:rPr>
        <w:t xml:space="preserve">Fecha: 6 de septiembre de 2026</w:t>
      </w:r>
    </w:p>
    <w:p>
      <w:pPr>
        <w:spacing w:after="140"/>
      </w:pPr>
      <w:r>
        <w:rPr>
          <w:rFonts w:ascii="Calibri" w:cs="Calibri" w:eastAsia="Calibri" w:hAnsi="Calibri"/>
          <w:sz w:val="22"/>
          <w:szCs w:val="22"/>
        </w:rPr>
        <w:t xml:space="preserve">Este documento define cómo se calculará la norma poblacional del instrumento una vez existan datos piloto reales, y un plan concreto de recolección de esos datos. Conforme a DECISIONS.md (punto 6), este documento NO inventa medias, desviaciones estándar ni tamaños muestrales de norma reales: todo valor de esa naturaleza se deja marcado como [PENDIENTE DE DATO PILOTO]. Lo que sí se define aquí son procedimientos, fórmulas, tamaños muestrales objetivo (metas de recolección, no resultados) y un plan operativo de recolección.</w:t>
      </w:r>
    </w:p>
    <w:p>
      <w:pPr>
        <w:spacing w:after="140"/>
      </w:pPr>
      <w:r>
        <w:rPr>
          <w:rFonts w:ascii="Calibri" w:cs="Calibri" w:eastAsia="Calibri" w:hAnsi="Calibri"/>
          <w:sz w:val="22"/>
          <w:szCs w:val="22"/>
        </w:rPr>
        <w:t xml:space="preserve">Convención de evidencia: [HECHO] = decisión ya aprobada por George en DECISIONS.md · [INFERENCIA] = derivado lógicamente de una decisión aprobada · [HIPÓTESIS] = elección razonable del equipo de diseño, no validada aún empíricamente · [DESCONOCIDO] = pendiente de dato piloto.</w:t>
      </w:r>
    </w:p>
    <w:p>
      <w:pPr>
        <w:pStyle w:val="Heading1"/>
        <w:spacing w:after="150" w:before="300"/>
      </w:pPr>
      <w:r>
        <w:t xml:space="preserve">1. Por qué el instrumento necesita una norma</w:t>
      </w:r>
    </w:p>
    <w:p>
      <w:pPr>
        <w:spacing w:after="140"/>
      </w:pPr>
      <w:r>
        <w:rPr>
          <w:rFonts w:ascii="Calibri" w:cs="Calibri" w:eastAsia="Calibri" w:hAnsi="Calibri"/>
          <w:sz w:val="22"/>
          <w:szCs w:val="22"/>
        </w:rPr>
        <w:t xml:space="preserve">El Índice General de Integridad (IGI), definido en la Fase 6, es un puntaje absoluto en una escala de 0 a 100 (con un tope estructural de 95, ver DECISIONS.md punto 20). Por sí solo no indican si un valor de, por ejemplo, 35/100 es alto, bajo o típico para una persona de un país, industria o rango de edad determinado. Una norma poblacional permite traducir ese puntaje absoluto en una posición relativa (percentil o puntuación Z) frente a un grupo de referencia comparable, que es lo que finalmente hace interpretable el resultado tanto para la capa individual (perfil) como para la capa empresarial (reporte de riesgo).</w:t>
      </w:r>
    </w:p>
    <w:p>
      <w:pPr>
        <w:pStyle w:val="Heading1"/>
        <w:spacing w:after="150" w:before="300"/>
      </w:pPr>
      <w:r>
        <w:t xml:space="preserve">2. Procedimiento de estandarización (cuando existan datos reales)</w:t>
      </w:r>
    </w:p>
    <w:p>
      <w:pPr>
        <w:pStyle w:val="Heading2"/>
        <w:spacing w:after="120" w:before="240"/>
      </w:pPr>
      <w:r>
        <w:t xml:space="preserve">2.1 Puntuación Z</w:t>
      </w:r>
    </w:p>
    <w:p>
      <w:pPr>
        <w:pBdr>
          <w:top w:val="single" w:color="BFBFBF" w:sz="4"/>
          <w:bottom w:val="single" w:color="BFBFBF" w:sz="4"/>
          <w:left w:val="single" w:color="BFBFBF" w:sz="4"/>
          <w:right w:val="single" w:color="BFBFBF" w:sz="4"/>
        </w:pBdr>
        <w:shd w:fill="F2F2F2" w:val="clear"/>
        <w:spacing w:after="160" w:before="80"/>
      </w:pPr>
      <w:r>
        <w:rPr>
          <w:rFonts w:ascii="Consolas" w:cs="Consolas" w:eastAsia="Consolas" w:hAnsi="Consolas"/>
          <w:sz w:val="20"/>
          <w:szCs w:val="20"/>
        </w:rPr>
        <w:t xml:space="preserve">Z_persona = (IGI_persona − Media_muestra_referencia) / DesviaciónEstándar_muestra_referencia</w:t>
      </w:r>
    </w:p>
    <w:p>
      <w:pPr>
        <w:spacing w:after="140"/>
      </w:pPr>
      <w:r>
        <w:rPr>
          <w:rFonts w:ascii="Calibri" w:cs="Calibri" w:eastAsia="Calibri" w:hAnsi="Calibri"/>
          <w:sz w:val="22"/>
          <w:szCs w:val="22"/>
        </w:rPr>
        <w:t xml:space="preserve">[HECHO] Media_muestra_referencia y DesviaciónEstándar_muestra_referencia son, por ahora, cantidades desconocidas: se calcularán únicamente a partir de datos reales recolectados según el plan de la Sección 4, nunca estimadas o supuestas. Hasta entonces, todo reporte del instrumento debe mostrar el IGI en su escala absoluta, sin Z ni percentil, o con la leyenda explícita [PENDIENTE DE DATO PILOTO].</w:t>
      </w:r>
    </w:p>
    <w:p>
      <w:pPr>
        <w:pStyle w:val="Heading2"/>
        <w:spacing w:after="120" w:before="240"/>
      </w:pPr>
      <w:r>
        <w:t xml:space="preserve">2.2 Percentiles</w:t>
      </w:r>
    </w:p>
    <w:p>
      <w:pPr>
        <w:spacing w:after="140"/>
      </w:pPr>
      <w:r>
        <w:rPr>
          <w:rFonts w:ascii="Calibri" w:cs="Calibri" w:eastAsia="Calibri" w:hAnsi="Calibri"/>
          <w:sz w:val="22"/>
          <w:szCs w:val="22"/>
        </w:rPr>
        <w:t xml:space="preserve">Una vez calculada la distribución de IGI de la muestra de referencia, el percentil de una persona se obtiene ubicando su IGI dentro de esa distribución empírica (por ejemplo, mediante el rango percentil empírico o, si la distribución se aproxima razonablemente a una normal, a partir de la puntuación Z y la función de distribución acumulada normal). [INFERENCIA] Se prefiere el percentil empírico sobre el paramétrico como método principal, porque no asume normalidad de la distribución del IGI, algo que no puede confirmarse hasta la Fase 9 (análisis de distribución de puntajes).</w:t>
      </w:r>
    </w:p>
    <w:p>
      <w:pPr>
        <w:pStyle w:val="Heading2"/>
        <w:spacing w:after="120" w:before="240"/>
      </w:pPr>
      <w:r>
        <w:t xml:space="preserve">2.3 Segmentación de la norma</w:t>
      </w:r>
    </w:p>
    <w:p>
      <w:pPr>
        <w:spacing w:after="140"/>
      </w:pPr>
      <w:r>
        <w:rPr>
          <w:rFonts w:ascii="Calibri" w:cs="Calibri" w:eastAsia="Calibri" w:hAnsi="Calibri"/>
          <w:sz w:val="22"/>
          <w:szCs w:val="22"/>
        </w:rPr>
        <w:t xml:space="preserve">[HIPÓTESIS] La norma no debe calcularse como un único grupo de referencia global, sino segmentada como mínimo por las siguientes variables, en la medida en que el tamaño de muestra por segmento lo permita (ver Sección 3):</w:t>
      </w:r>
    </w:p>
    <w:p>
      <w:pPr>
        <w:pStyle w:val="ListParagraph"/>
        <w:numPr>
          <w:ilvl w:val="0"/>
          <w:numId w:val="2"/>
        </w:numPr>
        <w:spacing w:after="80"/>
      </w:pPr>
      <w:r>
        <w:rPr>
          <w:rFonts w:ascii="Calibri" w:cs="Calibri" w:eastAsia="Calibri" w:hAnsi="Calibri"/>
          <w:sz w:val="22"/>
          <w:szCs w:val="22"/>
        </w:rPr>
        <w:t xml:space="preserve">País o región (dado que las normas sociales de referencia para varias dimensiones — p. ej. Apego a la Norma Social, Integridad Transaccional — pueden variar culturalmente).</w:t>
      </w:r>
    </w:p>
    <w:p>
      <w:pPr>
        <w:pStyle w:val="ListParagraph"/>
        <w:numPr>
          <w:ilvl w:val="0"/>
          <w:numId w:val="2"/>
        </w:numPr>
        <w:spacing w:after="80"/>
      </w:pPr>
      <w:r>
        <w:rPr>
          <w:rFonts w:ascii="Calibri" w:cs="Calibri" w:eastAsia="Calibri" w:hAnsi="Calibri"/>
          <w:sz w:val="22"/>
          <w:szCs w:val="22"/>
        </w:rPr>
        <w:t xml:space="preserve">Industria o sector (algunas dimensiones, como Conflicto de Interés o Integridad Documental, pueden tener bases distintas según el sector).</w:t>
      </w:r>
    </w:p>
    <w:p>
      <w:pPr>
        <w:pStyle w:val="ListParagraph"/>
        <w:numPr>
          <w:ilvl w:val="0"/>
          <w:numId w:val="2"/>
        </w:numPr>
        <w:spacing w:after="80"/>
      </w:pPr>
      <w:r>
        <w:rPr>
          <w:rFonts w:ascii="Calibri" w:cs="Calibri" w:eastAsia="Calibri" w:hAnsi="Calibri"/>
          <w:sz w:val="22"/>
          <w:szCs w:val="22"/>
        </w:rPr>
        <w:t xml:space="preserve">Tipo de aplicación: versión individual (B2C) vs. versión empresarial (B2B), dado que la motivación y el contexto de respuesta pueden diferir entre quien toma el test por curiosidad personal y quien lo toma como parte de un proceso de selección.</w:t>
      </w:r>
    </w:p>
    <w:p>
      <w:pPr>
        <w:spacing w:after="140"/>
      </w:pPr>
      <w:r>
        <w:rPr>
          <w:rFonts w:ascii="Calibri" w:cs="Calibri" w:eastAsia="Calibri" w:hAnsi="Calibri"/>
          <w:sz w:val="22"/>
          <w:szCs w:val="22"/>
        </w:rPr>
        <w:t xml:space="preserve">[INFERENCIA] Mientras no exista volumen suficiente para sostener normas segmentadas de forma fiable, se debe usar una norma global provisional, indicando explícitamente en el reporte que es una norma preliminar no segmentada, sujeta a revisión.</w:t>
      </w:r>
    </w:p>
    <w:p>
      <w:pPr>
        <w:pStyle w:val="Heading1"/>
        <w:spacing w:after="150" w:before="300"/>
      </w:pPr>
      <w:r>
        <w:t xml:space="preserve">3. Tamaño muestral objetivo (metas de recolección, no resultados)</w:t>
      </w:r>
    </w:p>
    <w:p>
      <w:pPr>
        <w:spacing w:after="140"/>
      </w:pPr>
      <w:r>
        <w:rPr>
          <w:rFonts w:ascii="Calibri" w:cs="Calibri" w:eastAsia="Calibri" w:hAnsi="Calibri"/>
          <w:b/>
          <w:bCs/>
          <w:sz w:val="22"/>
          <w:szCs w:val="22"/>
        </w:rPr>
        <w:t xml:space="preserve">[HIPÓTESIS] </w:t>
      </w:r>
      <w:r>
        <w:rPr>
          <w:rFonts w:ascii="Calibri" w:cs="Calibri" w:eastAsia="Calibri" w:hAnsi="Calibri"/>
          <w:sz w:val="22"/>
          <w:szCs w:val="22"/>
        </w:rPr>
        <w:t xml:space="preserve">Los siguientes tamaños son metas de recolección basadas en convenciones generales de la literatura psicométrica para análisis factorial y cálculo de normas estables (p. ej., reglas de al menos 5 a 10 respondientes por reactivo para un análisis factorial exploratorio preliminar, y muestras de varios cientos de casos por segmento para normas con error estándar razonablemente pequeño). No son, en ningún caso, resultados de una muestra ya recolectada.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400"/>
      </w:tblGrid>
      <w:tr>
        <w:tc>
          <w:tcPr>
            <w:tcW w:type="dxa" w:w="3600"/>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Etapa / segmento</w:t>
            </w:r>
          </w:p>
        </w:tc>
        <w:tc>
          <w:tcPr>
            <w:tcW w:type="dxa" w:w="2400"/>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Meta de casos</w:t>
            </w:r>
          </w:p>
        </w:tc>
        <w:tc>
          <w:tcPr>
            <w:tcW w:type="dxa" w:w="3400"/>
            <w:shd w:fill="1F3864" w:val="clear"/>
            <w:tcMar>
              <w:top w:type="dxa" w:w="70"/>
              <w:left w:type="dxa" w:w="100"/>
              <w:bottom w:type="dxa" w:w="70"/>
              <w:right w:type="dxa" w:w="100"/>
            </w:tcMar>
          </w:tcPr>
          <w:p>
            <w:r>
              <w:rPr>
                <w:rFonts w:ascii="Calibri" w:cs="Calibri" w:eastAsia="Calibri" w:hAnsi="Calibri"/>
                <w:b/>
                <w:bCs/>
                <w:color w:val="FFFFFF"/>
                <w:sz w:val="20"/>
                <w:szCs w:val="20"/>
              </w:rPr>
              <w:t xml:space="preserve">Uso previsto</w:t>
            </w:r>
          </w:p>
        </w:tc>
      </w:tr>
      <w:tr>
        <w:tc>
          <w:tcPr>
            <w:tcW w:type="dxa" w:w="3600"/>
            <w:tcMar>
              <w:top w:type="dxa" w:w="70"/>
              <w:left w:type="dxa" w:w="100"/>
              <w:bottom w:type="dxa" w:w="70"/>
              <w:right w:type="dxa" w:w="100"/>
            </w:tcMar>
          </w:tcPr>
          <w:p>
            <w:r>
              <w:rPr>
                <w:rFonts w:ascii="Calibri" w:cs="Calibri" w:eastAsia="Calibri" w:hAnsi="Calibri"/>
                <w:b w:val="false"/>
                <w:bCs w:val="false"/>
                <w:sz w:val="20"/>
                <w:szCs w:val="20"/>
              </w:rPr>
              <w:t xml:space="preserve">Piloto exploratorio inicial (agregado, sin segmentar)</w:t>
            </w:r>
          </w:p>
        </w:tc>
        <w:tc>
          <w:tcPr>
            <w:tcW w:type="dxa" w:w="2400"/>
            <w:tcMar>
              <w:top w:type="dxa" w:w="70"/>
              <w:left w:type="dxa" w:w="100"/>
              <w:bottom w:type="dxa" w:w="70"/>
              <w:right w:type="dxa" w:w="100"/>
            </w:tcMar>
          </w:tcPr>
          <w:p>
            <w:r>
              <w:rPr>
                <w:rFonts w:ascii="Calibri" w:cs="Calibri" w:eastAsia="Calibri" w:hAnsi="Calibri"/>
                <w:b w:val="false"/>
                <w:bCs w:val="false"/>
                <w:sz w:val="20"/>
                <w:szCs w:val="20"/>
              </w:rPr>
              <w:t xml:space="preserve">400-800 casos (≈ 2-4 por reactivo de los 210 del banco vigente, DECISIONS.md punto 28)</w:t>
            </w:r>
          </w:p>
        </w:tc>
        <w:tc>
          <w:tcPr>
            <w:tcW w:type="dxa" w:w="3400"/>
            <w:tcMar>
              <w:top w:type="dxa" w:w="70"/>
              <w:left w:type="dxa" w:w="100"/>
              <w:bottom w:type="dxa" w:w="70"/>
              <w:right w:type="dxa" w:w="100"/>
            </w:tcMar>
          </w:tcPr>
          <w:p>
            <w:r>
              <w:rPr>
                <w:rFonts w:ascii="Calibri" w:cs="Calibri" w:eastAsia="Calibri" w:hAnsi="Calibri"/>
                <w:b w:val="false"/>
                <w:bCs w:val="false"/>
                <w:sz w:val="20"/>
                <w:szCs w:val="20"/>
              </w:rPr>
              <w:t xml:space="preserve">Análisis factorial exploratorio preliminar y depuración de reactivos (Fase 9)</w:t>
            </w:r>
          </w:p>
        </w:tc>
      </w:tr>
      <w:tr>
        <w:tc>
          <w:tcPr>
            <w:tcW w:type="dxa" w:w="3600"/>
            <w:tcMar>
              <w:top w:type="dxa" w:w="70"/>
              <w:left w:type="dxa" w:w="100"/>
              <w:bottom w:type="dxa" w:w="70"/>
              <w:right w:type="dxa" w:w="100"/>
            </w:tcMar>
          </w:tcPr>
          <w:p>
            <w:r>
              <w:rPr>
                <w:rFonts w:ascii="Calibri" w:cs="Calibri" w:eastAsia="Calibri" w:hAnsi="Calibri"/>
                <w:b w:val="false"/>
                <w:bCs w:val="false"/>
                <w:sz w:val="20"/>
                <w:szCs w:val="20"/>
              </w:rPr>
              <w:t xml:space="preserve">Norma global provisional</w:t>
            </w:r>
          </w:p>
        </w:tc>
        <w:tc>
          <w:tcPr>
            <w:tcW w:type="dxa" w:w="2400"/>
            <w:tcMar>
              <w:top w:type="dxa" w:w="70"/>
              <w:left w:type="dxa" w:w="100"/>
              <w:bottom w:type="dxa" w:w="70"/>
              <w:right w:type="dxa" w:w="100"/>
            </w:tcMar>
          </w:tcPr>
          <w:p>
            <w:r>
              <w:rPr>
                <w:rFonts w:ascii="Calibri" w:cs="Calibri" w:eastAsia="Calibri" w:hAnsi="Calibri"/>
                <w:b w:val="false"/>
                <w:bCs w:val="false"/>
                <w:sz w:val="20"/>
                <w:szCs w:val="20"/>
              </w:rPr>
              <w:t xml:space="preserve">≥ 300 casos</w:t>
            </w:r>
          </w:p>
        </w:tc>
        <w:tc>
          <w:tcPr>
            <w:tcW w:type="dxa" w:w="3400"/>
            <w:tcMar>
              <w:top w:type="dxa" w:w="70"/>
              <w:left w:type="dxa" w:w="100"/>
              <w:bottom w:type="dxa" w:w="70"/>
              <w:right w:type="dxa" w:w="100"/>
            </w:tcMar>
          </w:tcPr>
          <w:p>
            <w:r>
              <w:rPr>
                <w:rFonts w:ascii="Calibri" w:cs="Calibri" w:eastAsia="Calibri" w:hAnsi="Calibri"/>
                <w:b w:val="false"/>
                <w:bCs w:val="false"/>
                <w:sz w:val="20"/>
                <w:szCs w:val="20"/>
              </w:rPr>
              <w:t xml:space="preserve">Primera norma no segmentada, de uso interino</w:t>
            </w:r>
          </w:p>
        </w:tc>
      </w:tr>
      <w:tr>
        <w:tc>
          <w:tcPr>
            <w:tcW w:type="dxa" w:w="3600"/>
            <w:tcMar>
              <w:top w:type="dxa" w:w="70"/>
              <w:left w:type="dxa" w:w="100"/>
              <w:bottom w:type="dxa" w:w="70"/>
              <w:right w:type="dxa" w:w="100"/>
            </w:tcMar>
          </w:tcPr>
          <w:p>
            <w:r>
              <w:rPr>
                <w:rFonts w:ascii="Calibri" w:cs="Calibri" w:eastAsia="Calibri" w:hAnsi="Calibri"/>
                <w:b w:val="false"/>
                <w:bCs w:val="false"/>
                <w:sz w:val="20"/>
                <w:szCs w:val="20"/>
              </w:rPr>
              <w:t xml:space="preserve">Norma por país/mercado prioritario</w:t>
            </w:r>
          </w:p>
        </w:tc>
        <w:tc>
          <w:tcPr>
            <w:tcW w:type="dxa" w:w="2400"/>
            <w:tcMar>
              <w:top w:type="dxa" w:w="70"/>
              <w:left w:type="dxa" w:w="100"/>
              <w:bottom w:type="dxa" w:w="70"/>
              <w:right w:type="dxa" w:w="100"/>
            </w:tcMar>
          </w:tcPr>
          <w:p>
            <w:r>
              <w:rPr>
                <w:rFonts w:ascii="Calibri" w:cs="Calibri" w:eastAsia="Calibri" w:hAnsi="Calibri"/>
                <w:b w:val="false"/>
                <w:bCs w:val="false"/>
                <w:sz w:val="20"/>
                <w:szCs w:val="20"/>
              </w:rPr>
              <w:t xml:space="preserve">≥ 300 casos por país</w:t>
            </w:r>
          </w:p>
        </w:tc>
        <w:tc>
          <w:tcPr>
            <w:tcW w:type="dxa" w:w="3400"/>
            <w:tcMar>
              <w:top w:type="dxa" w:w="70"/>
              <w:left w:type="dxa" w:w="100"/>
              <w:bottom w:type="dxa" w:w="70"/>
              <w:right w:type="dxa" w:w="100"/>
            </w:tcMar>
          </w:tcPr>
          <w:p>
            <w:r>
              <w:rPr>
                <w:rFonts w:ascii="Calibri" w:cs="Calibri" w:eastAsia="Calibri" w:hAnsi="Calibri"/>
                <w:b w:val="false"/>
                <w:bCs w:val="false"/>
                <w:sz w:val="20"/>
                <w:szCs w:val="20"/>
              </w:rPr>
              <w:t xml:space="preserve">Norma segmentada por país, una vez alcanzado el volumen</w:t>
            </w:r>
          </w:p>
        </w:tc>
      </w:tr>
      <w:tr>
        <w:tc>
          <w:tcPr>
            <w:tcW w:type="dxa" w:w="3600"/>
            <w:tcMar>
              <w:top w:type="dxa" w:w="70"/>
              <w:left w:type="dxa" w:w="100"/>
              <w:bottom w:type="dxa" w:w="70"/>
              <w:right w:type="dxa" w:w="100"/>
            </w:tcMar>
          </w:tcPr>
          <w:p>
            <w:r>
              <w:rPr>
                <w:rFonts w:ascii="Calibri" w:cs="Calibri" w:eastAsia="Calibri" w:hAnsi="Calibri"/>
                <w:b w:val="false"/>
                <w:bCs w:val="false"/>
                <w:sz w:val="20"/>
                <w:szCs w:val="20"/>
              </w:rPr>
              <w:t xml:space="preserve">Norma por industria prioritaria (uso B2B)</w:t>
            </w:r>
          </w:p>
        </w:tc>
        <w:tc>
          <w:tcPr>
            <w:tcW w:type="dxa" w:w="2400"/>
            <w:tcMar>
              <w:top w:type="dxa" w:w="70"/>
              <w:left w:type="dxa" w:w="100"/>
              <w:bottom w:type="dxa" w:w="70"/>
              <w:right w:type="dxa" w:w="100"/>
            </w:tcMar>
          </w:tcPr>
          <w:p>
            <w:r>
              <w:rPr>
                <w:rFonts w:ascii="Calibri" w:cs="Calibri" w:eastAsia="Calibri" w:hAnsi="Calibri"/>
                <w:b w:val="false"/>
                <w:bCs w:val="false"/>
                <w:sz w:val="20"/>
                <w:szCs w:val="20"/>
              </w:rPr>
              <w:t xml:space="preserve">≥ 200 casos por industria</w:t>
            </w:r>
          </w:p>
        </w:tc>
        <w:tc>
          <w:tcPr>
            <w:tcW w:type="dxa" w:w="3400"/>
            <w:tcMar>
              <w:top w:type="dxa" w:w="70"/>
              <w:left w:type="dxa" w:w="100"/>
              <w:bottom w:type="dxa" w:w="70"/>
              <w:right w:type="dxa" w:w="100"/>
            </w:tcMar>
          </w:tcPr>
          <w:p>
            <w:r>
              <w:rPr>
                <w:rFonts w:ascii="Calibri" w:cs="Calibri" w:eastAsia="Calibri" w:hAnsi="Calibri"/>
                <w:b w:val="false"/>
                <w:bCs w:val="false"/>
                <w:sz w:val="20"/>
                <w:szCs w:val="20"/>
              </w:rPr>
              <w:t xml:space="preserve">Norma segmentada por sector para clientes empresariales</w:t>
            </w:r>
          </w:p>
        </w:tc>
      </w:tr>
    </w:tbl>
    <w:p>
      <w:pPr>
        <w:spacing w:after="200"/>
      </w:pPr>
    </w:p>
    <w:p>
      <w:pPr>
        <w:spacing w:after="140"/>
      </w:pPr>
      <w:r>
        <w:rPr>
          <w:rFonts w:ascii="Calibri" w:cs="Calibri" w:eastAsia="Calibri" w:hAnsi="Calibri"/>
          <w:sz w:val="22"/>
          <w:szCs w:val="22"/>
        </w:rPr>
        <w:t xml:space="preserve">[INFERENCIA] Estas metas son iniciales y deliberadamente conservadoras frente a los estándares de instrumentos comerciales maduros (que suelen documentar muestras normativas de miles de casos); se plantean como el umbral mínimo razonable para publicar una primera norma provisional, no como el estándar final deseable. La Fase 9 debe revisar estas metas a la luz de los resultados del análisis factorial y de fiabilidad.</w:t>
      </w:r>
    </w:p>
    <w:p>
      <w:pPr>
        <w:pStyle w:val="Heading1"/>
        <w:spacing w:after="150" w:before="300"/>
      </w:pPr>
      <w:r>
        <w:t xml:space="preserve">4. Periodicidad de recalibración</w:t>
      </w:r>
    </w:p>
    <w:p>
      <w:pPr>
        <w:pStyle w:val="ListParagraph"/>
        <w:numPr>
          <w:ilvl w:val="0"/>
          <w:numId w:val="2"/>
        </w:numPr>
        <w:spacing w:after="80"/>
      </w:pPr>
      <w:r>
        <w:rPr>
          <w:rFonts w:ascii="Calibri" w:cs="Calibri" w:eastAsia="Calibri" w:hAnsi="Calibri"/>
          <w:sz w:val="22"/>
          <w:szCs w:val="22"/>
        </w:rPr>
        <w:t xml:space="preserve">Recalibración menor (ajuste de percentiles y medias/DE de la norma vigente, sin tocar el modelo): [HIPÓTESIS] cada vez que el volumen de casos nuevos acumulados equivalga a un incremento de al menos 20% sobre el tamaño de la muestra normativa vigente, o cada 6 meses, lo que ocurra primero.</w:t>
      </w:r>
    </w:p>
    <w:p>
      <w:pPr>
        <w:pStyle w:val="ListParagraph"/>
        <w:numPr>
          <w:ilvl w:val="0"/>
          <w:numId w:val="2"/>
        </w:numPr>
        <w:spacing w:after="80"/>
      </w:pPr>
      <w:r>
        <w:rPr>
          <w:rFonts w:ascii="Calibri" w:cs="Calibri" w:eastAsia="Calibri" w:hAnsi="Calibri"/>
          <w:sz w:val="22"/>
          <w:szCs w:val="22"/>
        </w:rPr>
        <w:t xml:space="preserve">Recalibración mayor (revisión de pesos de dimensión, valores psicométricos por reactivo, posible migración a TRI/IRT conforme a DECISIONS.md punto 2): [HIPÓTESIS] anualmente, o antes si el análisis de fiabilidad de la Fase 9 detecta un deterioro relevante en algún indicador (por ejemplo, caída sostenida del alfa/omega de alguna dimensión).</w:t>
      </w:r>
    </w:p>
    <w:p>
      <w:pPr>
        <w:pStyle w:val="ListParagraph"/>
        <w:numPr>
          <w:ilvl w:val="0"/>
          <w:numId w:val="2"/>
        </w:numPr>
        <w:spacing w:after="80"/>
      </w:pPr>
      <w:r>
        <w:rPr>
          <w:rFonts w:ascii="Calibri" w:cs="Calibri" w:eastAsia="Calibri" w:hAnsi="Calibri"/>
          <w:sz w:val="22"/>
          <w:szCs w:val="22"/>
        </w:rPr>
        <w:t xml:space="preserve">Cualquier cambio en el banco de reactivos (adición, eliminación o modificación de un reactivo) obliga a una recalibración mayor de la dimensión afectada antes de volver a usarla en producción.</w:t>
      </w:r>
    </w:p>
    <w:p>
      <w:pPr>
        <w:spacing w:after="140"/>
      </w:pPr>
      <w:r>
        <w:rPr>
          <w:rFonts w:ascii="Calibri" w:cs="Calibri" w:eastAsia="Calibri" w:hAnsi="Calibri"/>
          <w:sz w:val="22"/>
          <w:szCs w:val="22"/>
        </w:rPr>
        <w:t xml:space="preserve">[HECHO] Todo el historial de recalibraciones (fecha, tamaño de muestra usado, cambios aplicados) debe quedar documentado en una bitácora de versiones del instrumento, de forma análoga a cómo este proyecto documenta su propio progreso en PROGRESS.json.</w:t>
      </w:r>
    </w:p>
    <w:p>
      <w:pPr>
        <w:pStyle w:val="Heading1"/>
        <w:spacing w:after="150" w:before="300"/>
      </w:pPr>
      <w:r>
        <w:t xml:space="preserve">5. Plan de recolección de datos piloto</w:t>
      </w:r>
    </w:p>
    <w:p>
      <w:pPr>
        <w:pStyle w:val="Heading2"/>
        <w:spacing w:after="120" w:before="240"/>
      </w:pPr>
      <w:r>
        <w:t xml:space="preserve">5.1 A quién aplicar</w:t>
      </w:r>
    </w:p>
    <w:p>
      <w:pPr>
        <w:spacing w:after="140"/>
      </w:pPr>
      <w:r>
        <w:rPr>
          <w:rFonts w:ascii="Calibri" w:cs="Calibri" w:eastAsia="Calibri" w:hAnsi="Calibri"/>
          <w:sz w:val="22"/>
          <w:szCs w:val="22"/>
        </w:rPr>
        <w:t xml:space="preserve">[INFERENCIA] Dado el modelo de negocio híbrido definido en DECISIONS.md (punto 7), el plan de recolección aprovecha ambos canales del producto:</w:t>
      </w:r>
    </w:p>
    <w:p>
      <w:pPr>
        <w:pStyle w:val="ListParagraph"/>
        <w:numPr>
          <w:ilvl w:val="0"/>
          <w:numId w:val="2"/>
        </w:numPr>
        <w:spacing w:after="80"/>
      </w:pPr>
      <w:r>
        <w:rPr>
          <w:rFonts w:ascii="Calibri" w:cs="Calibri" w:eastAsia="Calibri" w:hAnsi="Calibri"/>
          <w:sz w:val="22"/>
          <w:szCs w:val="22"/>
        </w:rPr>
        <w:t xml:space="preserve">Canal B2C (individuos): usuarios que completan voluntariamente la versión gratuita del test, tras aceptar explícitamente el uso de sus respuestas anonimizadas con fines de investigación y mejora del instrumento (ver Sección 5.3). Este canal aporta volumen alto y diversidad demográfica amplia, aunque sin un criterio externo validado de conducta real (autoselección, motivación de autoconocimiento).</w:t>
      </w:r>
    </w:p>
    <w:p>
      <w:pPr>
        <w:pStyle w:val="ListParagraph"/>
        <w:numPr>
          <w:ilvl w:val="0"/>
          <w:numId w:val="2"/>
        </w:numPr>
        <w:spacing w:after="80"/>
      </w:pPr>
      <w:r>
        <w:rPr>
          <w:rFonts w:ascii="Calibri" w:cs="Calibri" w:eastAsia="Calibri" w:hAnsi="Calibri"/>
          <w:sz w:val="22"/>
          <w:szCs w:val="22"/>
        </w:rPr>
        <w:t xml:space="preserve">Canal B2B (empresas piloto voluntarias): un número reducido de organizaciones clientes o aliadas que acepten aplicar el instrumento como parte de un piloto de validación, idealmente con acceso posterior (agregado y anonimizado) a indicadores de desempeño o incidentes disciplinarios, lo que permite construir validez de criterio (ver Fase 9). Este canal aporta menor volumen pero mayor calidad de contexto laboral real.</w:t>
      </w:r>
    </w:p>
    <w:p>
      <w:pPr>
        <w:pStyle w:val="Heading2"/>
        <w:spacing w:after="120" w:before="240"/>
      </w:pPr>
      <w:r>
        <w:t xml:space="preserve">5.2 Cuántos casos mínimos</w:t>
      </w:r>
    </w:p>
    <w:p>
      <w:pPr>
        <w:spacing w:after="140"/>
      </w:pPr>
      <w:r>
        <w:rPr>
          <w:rFonts w:ascii="Calibri" w:cs="Calibri" w:eastAsia="Calibri" w:hAnsi="Calibri"/>
          <w:sz w:val="22"/>
          <w:szCs w:val="22"/>
        </w:rPr>
        <w:t xml:space="preserve">Se adoptan como mínimos de arranque los mismos definidos en la tabla de la Sección 3: al menos 400 casos combinados (B2C + B2B) antes de ejecutar el primer análisis factorial exploratorio de la Fase 9, y al menos 300 casos antes de publicar cualquier norma, aunque sea provisional y no segmentada.</w:t>
      </w:r>
    </w:p>
    <w:p>
      <w:pPr>
        <w:pStyle w:val="Heading2"/>
        <w:spacing w:after="120" w:before="240"/>
      </w:pPr>
      <w:r>
        <w:t xml:space="preserve">5.3 Cómo obtener consentimiento</w:t>
      </w:r>
    </w:p>
    <w:p>
      <w:pPr>
        <w:pStyle w:val="ListParagraph"/>
        <w:numPr>
          <w:ilvl w:val="0"/>
          <w:numId w:val="2"/>
        </w:numPr>
        <w:spacing w:after="80"/>
      </w:pPr>
      <w:r>
        <w:rPr>
          <w:rFonts w:ascii="Calibri" w:cs="Calibri" w:eastAsia="Calibri" w:hAnsi="Calibri"/>
          <w:sz w:val="22"/>
          <w:szCs w:val="22"/>
        </w:rPr>
        <w:t xml:space="preserve">Consentimiento informado explícito y de opt-in (no premarcado), presentado antes de iniciar el test, en lenguaje simple, indicando: qué se recolecta, con qué fin (mejora y validación del instrumento; en el canal B2B, adicionalmente el fin de evaluación laboral), quién tiene acceso a los datos individuales frente a los datos agregados, y que la participación en el componente de investigación es separable de la administración regular del test cuando la normativa de protección de datos aplicable lo exija.</w:t>
      </w:r>
    </w:p>
    <w:p>
      <w:pPr>
        <w:pStyle w:val="ListParagraph"/>
        <w:numPr>
          <w:ilvl w:val="0"/>
          <w:numId w:val="2"/>
        </w:numPr>
        <w:spacing w:after="80"/>
      </w:pPr>
      <w:r>
        <w:rPr>
          <w:rFonts w:ascii="Calibri" w:cs="Calibri" w:eastAsia="Calibri" w:hAnsi="Calibri"/>
          <w:sz w:val="22"/>
          <w:szCs w:val="22"/>
        </w:rPr>
        <w:t xml:space="preserve">Anonimización o seudonimización de los datos usados para fines normativos y de validación: los identificadores directos (nombre, correo) no deben formar parte del set de datos usado para el análisis psicométrico, que debe trabajar sobre un identificador interno no reversible.</w:t>
      </w:r>
    </w:p>
    <w:p>
      <w:pPr>
        <w:pStyle w:val="ListParagraph"/>
        <w:numPr>
          <w:ilvl w:val="0"/>
          <w:numId w:val="2"/>
        </w:numPr>
        <w:spacing w:after="80"/>
      </w:pPr>
      <w:r>
        <w:rPr>
          <w:rFonts w:ascii="Calibri" w:cs="Calibri" w:eastAsia="Calibri" w:hAnsi="Calibri"/>
          <w:sz w:val="22"/>
          <w:szCs w:val="22"/>
        </w:rPr>
        <w:t xml:space="preserve">[HECHO] No se recolectan datos con fines normativos de menores de edad ni de cualquier persona que no haya dado consentimiento explícito, conforme a las políticas generales de protección de datos que deberá validar el equipo legal de George antes del lanzamiento del piloto (fuera del alcance psicométrico de este documento).</w:t>
      </w:r>
    </w:p>
    <w:p>
      <w:pPr>
        <w:pStyle w:val="ListParagraph"/>
        <w:numPr>
          <w:ilvl w:val="0"/>
          <w:numId w:val="2"/>
        </w:numPr>
        <w:spacing w:after="80"/>
      </w:pPr>
      <w:r>
        <w:rPr>
          <w:rFonts w:ascii="Calibri" w:cs="Calibri" w:eastAsia="Calibri" w:hAnsi="Calibri"/>
          <w:sz w:val="22"/>
          <w:szCs w:val="22"/>
        </w:rPr>
        <w:t xml:space="preserve">Derecho de retiro: la persona debe poder solicitar la eliminación de sus datos del set de investigación en cualquier momento, sin que esto afecte, en el canal B2B, su proceso de evaluación laboral vigente (que se rige por las políticas de datos de esa relación laboral específica, no por el consentimiento de investigación).</w:t>
      </w:r>
    </w:p>
    <w:p>
      <w:pPr>
        <w:pStyle w:val="Heading2"/>
        <w:spacing w:after="120" w:before="240"/>
      </w:pPr>
      <w:r>
        <w:t xml:space="preserve">5.4 Qué variables demográficas y contextuales registrar</w:t>
      </w:r>
    </w:p>
    <w:p>
      <w:pPr>
        <w:spacing w:after="140"/>
      </w:pPr>
      <w:r>
        <w:rPr>
          <w:rFonts w:ascii="Calibri" w:cs="Calibri" w:eastAsia="Calibri" w:hAnsi="Calibri"/>
          <w:sz w:val="22"/>
          <w:szCs w:val="22"/>
        </w:rPr>
        <w:t xml:space="preserve">[HIPÓTESIS] Para permitir la segmentación de normas (Sección 2.3) y el análisis de funcionamiento diferencial de ítems (DIF, ver Fase 9), se recomienda registrar, siempre de forma opcional y explícitamente declarada como tal:</w:t>
      </w:r>
    </w:p>
    <w:p>
      <w:pPr>
        <w:pStyle w:val="ListParagraph"/>
        <w:numPr>
          <w:ilvl w:val="0"/>
          <w:numId w:val="2"/>
        </w:numPr>
        <w:spacing w:after="80"/>
      </w:pPr>
      <w:r>
        <w:rPr>
          <w:rFonts w:ascii="Calibri" w:cs="Calibri" w:eastAsia="Calibri" w:hAnsi="Calibri"/>
          <w:sz w:val="22"/>
          <w:szCs w:val="22"/>
        </w:rPr>
        <w:t xml:space="preserve">País o región de residencia/trabajo.</w:t>
      </w:r>
    </w:p>
    <w:p>
      <w:pPr>
        <w:pStyle w:val="ListParagraph"/>
        <w:numPr>
          <w:ilvl w:val="0"/>
          <w:numId w:val="2"/>
        </w:numPr>
        <w:spacing w:after="80"/>
      </w:pPr>
      <w:r>
        <w:rPr>
          <w:rFonts w:ascii="Calibri" w:cs="Calibri" w:eastAsia="Calibri" w:hAnsi="Calibri"/>
          <w:sz w:val="22"/>
          <w:szCs w:val="22"/>
        </w:rPr>
        <w:t xml:space="preserve">Rango de edad (por tramos, no fecha de nacimiento exacta, para minimizar el riesgo de reidentificación).</w:t>
      </w:r>
    </w:p>
    <w:p>
      <w:pPr>
        <w:pStyle w:val="ListParagraph"/>
        <w:numPr>
          <w:ilvl w:val="0"/>
          <w:numId w:val="2"/>
        </w:numPr>
        <w:spacing w:after="80"/>
      </w:pPr>
      <w:r>
        <w:rPr>
          <w:rFonts w:ascii="Calibri" w:cs="Calibri" w:eastAsia="Calibri" w:hAnsi="Calibri"/>
          <w:sz w:val="22"/>
          <w:szCs w:val="22"/>
        </w:rPr>
        <w:t xml:space="preserve">Género (con opción de no declarar).</w:t>
      </w:r>
    </w:p>
    <w:p>
      <w:pPr>
        <w:pStyle w:val="ListParagraph"/>
        <w:numPr>
          <w:ilvl w:val="0"/>
          <w:numId w:val="2"/>
        </w:numPr>
        <w:spacing w:after="80"/>
      </w:pPr>
      <w:r>
        <w:rPr>
          <w:rFonts w:ascii="Calibri" w:cs="Calibri" w:eastAsia="Calibri" w:hAnsi="Calibri"/>
          <w:sz w:val="22"/>
          <w:szCs w:val="22"/>
        </w:rPr>
        <w:t xml:space="preserve">Nivel educativo alcanzado.</w:t>
      </w:r>
    </w:p>
    <w:p>
      <w:pPr>
        <w:pStyle w:val="ListParagraph"/>
        <w:numPr>
          <w:ilvl w:val="0"/>
          <w:numId w:val="2"/>
        </w:numPr>
        <w:spacing w:after="80"/>
      </w:pPr>
      <w:r>
        <w:rPr>
          <w:rFonts w:ascii="Calibri" w:cs="Calibri" w:eastAsia="Calibri" w:hAnsi="Calibri"/>
          <w:sz w:val="22"/>
          <w:szCs w:val="22"/>
        </w:rPr>
        <w:t xml:space="preserve">Industria o sector de la organización (cuando aplique).</w:t>
      </w:r>
    </w:p>
    <w:p>
      <w:pPr>
        <w:pStyle w:val="ListParagraph"/>
        <w:numPr>
          <w:ilvl w:val="0"/>
          <w:numId w:val="2"/>
        </w:numPr>
        <w:spacing w:after="80"/>
      </w:pPr>
      <w:r>
        <w:rPr>
          <w:rFonts w:ascii="Calibri" w:cs="Calibri" w:eastAsia="Calibri" w:hAnsi="Calibri"/>
          <w:sz w:val="22"/>
          <w:szCs w:val="22"/>
        </w:rPr>
        <w:t xml:space="preserve">Tipo de puesto o nivel jerárquico (operativo, mando medio, dirección; cuando aplique).</w:t>
      </w:r>
    </w:p>
    <w:p>
      <w:pPr>
        <w:pStyle w:val="ListParagraph"/>
        <w:numPr>
          <w:ilvl w:val="0"/>
          <w:numId w:val="2"/>
        </w:numPr>
        <w:spacing w:after="80"/>
      </w:pPr>
      <w:r>
        <w:rPr>
          <w:rFonts w:ascii="Calibri" w:cs="Calibri" w:eastAsia="Calibri" w:hAnsi="Calibri"/>
          <w:sz w:val="22"/>
          <w:szCs w:val="22"/>
        </w:rPr>
        <w:t xml:space="preserve">Antigüedad laboral general y en el puesto actual (cuando aplique).</w:t>
      </w:r>
    </w:p>
    <w:p>
      <w:pPr>
        <w:pStyle w:val="ListParagraph"/>
        <w:numPr>
          <w:ilvl w:val="0"/>
          <w:numId w:val="2"/>
        </w:numPr>
        <w:spacing w:after="80"/>
      </w:pPr>
      <w:r>
        <w:rPr>
          <w:rFonts w:ascii="Calibri" w:cs="Calibri" w:eastAsia="Calibri" w:hAnsi="Calibri"/>
          <w:sz w:val="22"/>
          <w:szCs w:val="22"/>
        </w:rPr>
        <w:t xml:space="preserve">Canal de origen (B2C individual vs. B2B empresarial), para poder analizar si existen diferencias sistemáticas de patrón de respuesta entre ambos contextos de aplicación.</w:t>
      </w:r>
    </w:p>
    <w:p>
      <w:pPr>
        <w:spacing w:after="140"/>
      </w:pPr>
      <w:r>
        <w:rPr>
          <w:rFonts w:ascii="Calibri" w:cs="Calibri" w:eastAsia="Calibri" w:hAnsi="Calibri"/>
          <w:sz w:val="22"/>
          <w:szCs w:val="22"/>
        </w:rPr>
        <w:t xml:space="preserve">[INFERENCIA] Ninguna de estas variables debe ser obligatoria para completar el test; deben poder omitirse sin bloquear el resultado, dado que su único propósito es habilitar análisis posteriores de norma y equidad de medición, no condicionar el resultado individual.</w:t>
      </w:r>
    </w:p>
    <w:p>
      <w:pPr>
        <w:pStyle w:val="Heading1"/>
        <w:spacing w:after="150" w:before="300"/>
      </w:pPr>
      <w:r>
        <w:t xml:space="preserve">6. Relación con las siguientes fases</w:t>
      </w:r>
    </w:p>
    <w:p>
      <w:pPr>
        <w:spacing w:after="140"/>
      </w:pPr>
      <w:r>
        <w:rPr>
          <w:rFonts w:ascii="Calibri" w:cs="Calibri" w:eastAsia="Calibri" w:hAnsi="Calibri"/>
          <w:sz w:val="22"/>
          <w:szCs w:val="22"/>
        </w:rPr>
        <w:t xml:space="preserve">[HECHO] La Fase 9 tomará este plan de recolección como insumo para diseñar el estudio piloto de validación (tamaño de muestra, análisis de ítems, fiabilidad, estructura factorial, DIF y puntos de corte). Ningún valor de media, desviación estándar, percentil o tamaño de muestra ya recolectada debe aparecer en ningún documento de este proyecto hasta que exista un piloto real ejecutado; hasta entonces, todos esos valores permanecen como [PENDIENTE DE DATO PILOTO].</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2026-09-07T03:34:06.077Z</dcterms:created>
  <dcterms:modified xsi:type="dcterms:W3CDTF">2026-09-07T03:34:06.078Z</dcterms:modified>
</cp:coreProperties>
</file>

<file path=docProps/custom.xml><?xml version="1.0" encoding="utf-8"?>
<Properties xmlns="http://schemas.openxmlformats.org/officeDocument/2006/custom-properties" xmlns:vt="http://schemas.openxmlformats.org/officeDocument/2006/docPropsVTypes"/>
</file>