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b/>
          <w:bCs/>
          <w:sz w:val="38"/>
          <w:szCs w:val="38"/>
        </w:rPr>
        <w:t xml:space="preserve">Diagnóstico de Completitud Técnica del Instrumento</w:t>
      </w:r>
    </w:p>
    <w:p>
      <w:pPr>
        <w:spacing w:after="60"/>
        <w:jc w:val="center"/>
      </w:pPr>
      <w:r>
        <w:rPr>
          <w:i/>
          <w:iCs/>
        </w:rPr>
        <w:t xml:space="preserve">Auditoría psicométrica del contenido y las reglas de cálculo — [NOMBRE DEL INSTRUMENTO]</w:t>
      </w:r>
    </w:p>
    <w:p>
      <w:pPr>
        <w:spacing w:after="300"/>
        <w:jc w:val="center"/>
      </w:pPr>
      <w:r>
        <w:rPr>
          <w:sz w:val="20"/>
          <w:szCs w:val="20"/>
        </w:rPr>
        <w:t xml:space="preserve">Preparado para: George (jsuasnavas@gmail.com) · Fecha: 15 de septiembre de 2026</w:t>
      </w:r>
    </w:p>
    <w:p>
      <w:pPr>
        <w:spacing w:after="150"/>
      </w:pPr>
      <w:r>
        <w:rPr>
          <w:b/>
          <w:bCs/>
        </w:rPr>
        <w:t xml:space="preserve">[ALCANCE] </w:t>
      </w:r>
      <w:r>
        <w:t xml:space="preserve">George aclaró el encargo: no se trata de si ya existe el software (eso se sabe que es una etapa posterior, ver Diagnostico_Elementos_Faltantes_para_Operar.docx), sino de si el DISEÑO TÉCNICO del instrumento — dimensiones, reactivos, fórmulas, reglas de validez, algoritmo de armado del test — está completo, sin ambigüedades, para que cuando se construya el software no falte ningún insumo psicométrico. Este documento responde exactamente esa pregunta y reemplaza, para ese propósito específico, al diagnóstico anterior (que mezclaba temas de plataforma/legal fuera de este alcance).</w:t>
      </w:r>
    </w:p>
    <w:p>
      <w:pPr>
        <w:pStyle w:val="Heading1"/>
        <w:spacing w:after="160" w:before="360"/>
      </w:pPr>
      <w:r>
        <w:t xml:space="preserve">Respuesta directa</w:t>
      </w:r>
    </w:p>
    <w:p>
      <w:pPr>
        <w:spacing w:after="150"/>
      </w:pPr>
      <w:r>
        <w:rPr>
          <w:b/>
          <w:bCs/>
        </w:rPr>
        <w:t xml:space="preserve">Casi completo, con 6 puntos concretos por cerrar. </w:t>
      </w:r>
      <w:r>
        <w:t xml:space="preserve">Se revisaron a fondo las fórmulas de Fase 6 (PRB→IGI), las reglas de los 5 indicadores de validez del protocolo (Fase 2, Sección 5) y el algoritmo de armado del test (Fase 10, Sección 2.2), comparando cada regla descrita contra el contenido real generado (content_v3.js, reactivos_data.js, deseabilidad_social_data.json). El motor de cálculo en sí — reactivo → dimensión → PRB → IGI, con multiplicador de puesto, tope del 95% y renormalización de pesos por batería — está completo y sin contradicciones. Los 6 puntos que siguen son reales huecos de contenido o de especificación, ninguno inventado por precaución: cada uno se verificó contra el texto exacto de los documentos de Fase o contra el contenido generado.</w:t>
      </w:r>
    </w:p>
    <w:p>
      <w:pPr>
        <w:pStyle w:val="Heading1"/>
        <w:spacing w:after="160" w:before="360"/>
      </w:pPr>
      <w:r>
        <w:t xml:space="preserve">1. Los reactivos de control de Azarosidad no existen todavía</w:t>
      </w:r>
    </w:p>
    <w:p>
      <w:pPr>
        <w:spacing w:after="150"/>
      </w:pPr>
      <w:r>
        <w:rPr>
          <w:b/>
          <w:bCs/>
        </w:rPr>
        <w:t xml:space="preserve">[HALLAZGO] </w:t>
      </w:r>
      <w:r>
        <w:t xml:space="preserve">Fase 2, Sección 5.1 describe el mecanismo del indicador de Azarosidad con un ejemplo concreto: "se insertan 3-4 reactivos de control... con instrucción explícita embebida (ej. 'selecciona la segunda opción en este reactivo')", y la regla de invalidación ya está definida con números exactos (fallar 1 = alerta interna, fallar 2 o más = invalidación total). Pero se verificó el banco completo (content_v3.js, 210 reactivos) y no existe ningún reactivo de este tipo: los 210 son enteramente contenido sustantivo de las 21 dimensiones. El mecanismo está bien diseñado; el contenido en sí — los 3-4 textos reales, con sus IDs, y la regla de en qué posición(es) del test se insertan — todavía no se ha escrito.</w:t>
      </w:r>
    </w:p>
    <w:p>
      <w:pPr>
        <w:spacing w:after="150"/>
      </w:pPr>
      <w:r>
        <w:rPr>
          <w:b/>
          <w:bCs/>
        </w:rPr>
        <w:t xml:space="preserve">Por qué importa ahora: </w:t>
      </w:r>
      <w:r>
        <w:t xml:space="preserve">es contenido, no código — exactamente el tipo de insumo que el equipo de desarrollo va a esperar encontrar ya definido, igual que los 210 reactivos sustantivos. Redactarlos ahora es rápido (son 3-4 frases de instrucción explícita, sin necesidad de anclarlos a ningún constructo) y evita que quien construya el software tenga que inventarlos sin criterio psicométrico.</w:t>
      </w:r>
    </w:p>
    <w:p>
      <w:pPr>
        <w:pStyle w:val="Heading1"/>
        <w:spacing w:after="160" w:before="360"/>
      </w:pPr>
      <w:r>
        <w:t xml:space="preserve">2. Regla contradictoria para reactivos sin responder dentro de una dimensión</w:t>
      </w:r>
    </w:p>
    <w:p>
      <w:pPr>
        <w:spacing w:after="150"/>
      </w:pPr>
      <w:r>
        <w:rPr>
          <w:b/>
          <w:bCs/>
        </w:rPr>
        <w:t xml:space="preserve">[HALLAZGO] </w:t>
      </w:r>
      <w:r>
        <w:t xml:space="preserve">Fase 6, Sección 2 define: "Puntaje_dimensión = PROMEDIO(Valor_normalizado de los 10 reactivos de esa dimensión)" — un denominador fijo de 10, sin excepción mencionada. Pero la Sección 11 (invalidación), al explicar que la invalidación nunca excluye datos del cálculo, dice textualmente que el Puntaje_dimensión se calcula "usando todos los reactivos REALMENTE RESPONDIDOS, sin excepción" — es decir, un denominador variable (según cuántos se hayan respondido, no siempre 10). Estas dos frases, leídas juntas, no dejan claro qué pasa si una persona deja 1 o 2 reactivos sin responder dentro de una dimensión: ¿el promedio se calcula sobre 10 (tratando lo no respondido como un valor de riesgo alto por defecto) o sobre los que sí respondió (8 o 9)? Cada opción produce un número distinto para la misma persona.</w:t>
      </w:r>
    </w:p>
    <w:p>
      <w:pPr>
        <w:spacing w:after="150"/>
      </w:pPr>
      <w:r>
        <w:rPr>
          <w:b/>
          <w:bCs/>
        </w:rPr>
        <w:t xml:space="preserve">Por qué importa ahora: </w:t>
      </w:r>
      <w:r>
        <w:t xml:space="preserve">sin una única regla explícita, dos desarrolladores podrían programar el mismo cálculo de dos formas distintas y obtener resultados diferentes para el mismo caso. La práctica estándar en TCT es promediar solo sobre los ítems respondidos (consistente con la Sección 11), pero eso debería decirse una sola vez, de forma inequívoca, en la Sección 2 donde vive la fórmula principal — no inferirse de un párrafo sobre invalidación.</w:t>
      </w:r>
    </w:p>
    <w:p>
      <w:pPr>
        <w:pStyle w:val="Heading1"/>
        <w:spacing w:after="160" w:before="360"/>
      </w:pPr>
      <w:r>
        <w:t xml:space="preserve">3. Algoritmo de orden/entrelazado de reactivos: falta la distancia mínima entre un par espejo</w:t>
      </w:r>
    </w:p>
    <w:p>
      <w:pPr>
        <w:spacing w:after="150"/>
      </w:pPr>
      <w:r>
        <w:rPr>
          <w:b/>
          <w:bCs/>
        </w:rPr>
        <w:t xml:space="preserve">[HALLAZGO] </w:t>
      </w:r>
      <w:r>
        <w:t xml:space="preserve">Fase 10, Sección 2.2 establece el principio: "el orden de presentación debe alternar dimensiones (no agrupar los 10 reactivos de una misma dimensión consecutivamente) para reducir el riesgo de que la persona identifique el patrón de un par espejo y ajuste sus respuestas de forma estratégica". El objetivo declarado es proteger la sensibilidad del indicador de Contradicción (Fase 2, Sección 5.4). Pero la regla, tal como está escrita, solo prohíbe agrupar los reactivos DE UNA MISMA DIMENSIÓN — no dice nada sobre la distancia entre los dos reactivos que forman específicamente UN PAR ESPEJO. Es perfectamente posible cumplir "no agrupar los 10 de una dimensión" y aun así, por azar, dejar los dos reactivos de un par espejo uno justo después del otro, que es exactamente el caso que la regla dice querer evitar.</w:t>
      </w:r>
    </w:p>
    <w:p>
      <w:pPr>
        <w:spacing w:after="150"/>
      </w:pPr>
      <w:r>
        <w:rPr>
          <w:b/>
          <w:bCs/>
        </w:rPr>
        <w:t xml:space="preserve">Por qué importa ahora: </w:t>
      </w:r>
      <w:r>
        <w:t xml:space="preserve">es un vacío de una sola frase de resolver ("los dos reactivos de un mismo par espejo deben quedar separados por al menos N reactivos en el orden de presentación", con un valor de N sugerido), pero sin esa frase el desarrollador no tiene forma de saber si el requisito es real o solo un principio general.</w:t>
      </w:r>
    </w:p>
    <w:p>
      <w:pPr>
        <w:pStyle w:val="Heading1"/>
        <w:spacing w:after="160" w:before="360"/>
      </w:pPr>
      <w:r>
        <w:t xml:space="preserve">4. No existe texto redactado para lo que el reporte debe decir en cada nivel</w:t>
      </w:r>
    </w:p>
    <w:p>
      <w:pPr>
        <w:spacing w:after="150"/>
      </w:pPr>
      <w:r>
        <w:rPr>
          <w:b/>
          <w:bCs/>
        </w:rPr>
        <w:t xml:space="preserve">[HALLAZGO] </w:t>
      </w:r>
      <w:r>
        <w:t xml:space="preserve">El marco de los 6 niveles y el semáforo de 3 colores está completo como estructura numérica (DECISIONS.md puntos 21-22; Fase 6, Sección 10). Pero se revisó Fase 6, Fase 7, Fase 10 y Fase 12 buscando algún texto interpretativo — qué frase(s) ve un reclutador cuando el IGI de un candidato cae en "Nivel 2 — Integridad Baja", o qué le dice el reporte a una persona en la capa B2C gratuita sobre su resultado en una dimensión — y no existe ninguno. Hoy el instrumento puede calcular el número y el color, pero no tiene ningún contenido redactado para acompañarlo.</w:t>
      </w:r>
    </w:p>
    <w:p>
      <w:pPr>
        <w:spacing w:after="150"/>
      </w:pPr>
      <w:r>
        <w:rPr>
          <w:b/>
          <w:bCs/>
        </w:rPr>
        <w:t xml:space="preserve">Por qué importa ahora: </w:t>
      </w:r>
      <w:r>
        <w:t xml:space="preserve">redactar esa narrativa (idealmente 1-2 párrafos por nivel, para el IGI general y al menos para el grupo Núcleo, más una versión breve por dimensión) es trabajo de contenido/psicométrico — elegir un tono no estigmatizante, evitar lenguaje clínico, mantener la misma cautela que ya se aplicó al resto del banco de reactivos — no una decisión de interfaz que deba tomar quien programe el software. Dejarlo para la etapa de desarrollo corre el riesgo de que se redacte sin ese cuidado.</w:t>
      </w:r>
    </w:p>
    <w:p>
      <w:pPr>
        <w:pStyle w:val="Heading1"/>
        <w:spacing w:after="160" w:before="360"/>
      </w:pPr>
      <w:r>
        <w:t xml:space="preserve">5. Arquetipos B2C: el mecanismo está definido, el contenido no</w:t>
      </w:r>
    </w:p>
    <w:p>
      <w:pPr>
        <w:spacing w:after="150"/>
      </w:pPr>
      <w:r>
        <w:rPr>
          <w:b/>
          <w:bCs/>
        </w:rPr>
        <w:t xml:space="preserve">[HALLAZGO] </w:t>
      </w:r>
      <w:r>
        <w:t xml:space="preserve">Fase 10, Sección 2.4 define el MECANISMO del arquetipo ("construido combinando las 2-3 dimensiones Núcleo con mejor puntaje de la persona") y el criterio editorial (favorecedor, no estigmatizante). Fase 11, Sección 6 ya señala esto como pendiente de decisión de George. Lo confirmo aquí porque es, en esencia, el mismo tipo de vacío que los puntos 1 y 4: falta el CONTENIDO real — la lista de arquetipos posibles, sus nombres, su descripción de 2-3 líneas cada uno, y la tabla que traduce una combinación de dimensiones ganadoras en un arquetipo específico. Sin esa tabla, la capa B2C gratuita (el gancho viral de todo el modelo de negocio) no tiene qué mostrarle a la persona al terminar el test.</w:t>
      </w:r>
    </w:p>
    <w:p>
      <w:pPr>
        <w:pStyle w:val="Heading1"/>
        <w:spacing w:after="160" w:before="360"/>
      </w:pPr>
      <w:r>
        <w:t xml:space="preserve">6. La hoja de puntos de corte provisionales quedó en blanco, aunque el criterio para llenarla ya existe</w:t>
      </w:r>
    </w:p>
    <w:p>
      <w:pPr>
        <w:spacing w:after="150"/>
      </w:pPr>
      <w:r>
        <w:rPr>
          <w:b/>
          <w:bCs/>
        </w:rPr>
        <w:t xml:space="preserve">[HALLAZGO] </w:t>
      </w:r>
      <w:r>
        <w:t xml:space="preserve">Fase 6, Sección 10.1 ya prevé, correctamente, que el sistema pueda operar con puntos de corte provisionales mientras no exista muestra piloto ("por ejemplo, sextiles matemáticos de la escala 0-95, nunca presentados como una norma real"). Pero Fase6_Matriz_Scoring.xlsx, hoja 'Niveles_Corte', tiene las columnas Percentil_min/Percentil_max vacías, no completadas con esos sextiles provisionales que el propio texto sugiere.</w:t>
      </w:r>
    </w:p>
    <w:p>
      <w:pPr>
        <w:spacing w:after="150"/>
      </w:pPr>
      <w:r>
        <w:rPr>
          <w:b/>
          <w:bCs/>
        </w:rPr>
        <w:t xml:space="preserve">Por qué importa ahora: </w:t>
      </w:r>
      <w:r>
        <w:t xml:space="preserve">es la única pieza de esta lista que se puede resolver con una fórmula matemática simple, sin ningún juicio editorial (dividir 0-95 en 6 tramos iguales, marcados explícitamente "[PROVISIONAL — NO ES UNA NORMA REAL]"). Completarla ahora le da al desarrollador una tabla lista para usar desde el primer prototipo, en vez de una hoja en blanco que alguien más tendrá que decidir cómo llenar.</w:t>
      </w:r>
    </w:p>
    <w:p>
      <w:pPr>
        <w:pStyle w:val="Heading1"/>
        <w:spacing w:after="160" w:before="360"/>
      </w:pPr>
      <w:r>
        <w:t xml:space="preserve">7. (Menor) Falta un ejemplo numérico de la renormalización de pesos por batería reducida</w:t>
      </w:r>
    </w:p>
    <w:p>
      <w:pPr>
        <w:spacing w:after="150"/>
      </w:pPr>
      <w:r>
        <w:rPr>
          <w:b/>
          <w:bCs/>
        </w:rPr>
        <w:t xml:space="preserve">[HALLAZGO] </w:t>
      </w:r>
      <w:r>
        <w:t xml:space="preserve">Fase 6, Sección 6 establece el requisito con claridad: cuando una batería usa solo algunas de las 12 dimensiones Núcleo, "los pesos deben re-parametrizarse para que sumen 100% entre únicamente las dimensiones efectivamente seleccionadas". El criterio matemático correcto (reescalar cada peso proporcionalmente a la suma de los pesos seleccionados) es el único que tiene sentido y probablemente sea obvio para quien lo programe, pero a diferencia del multiplicador de nivel de puesto (que sí tiene una tabla y un ejemplo numérico trabajado paso a paso en DECISIONS.md punto 27), esta renormalización no tiene un ejemplo equivalente. Es el hallazgo de menor riesgo de esta lista — no es ambiguo, solo le falta el mismo nivel de detalle que el resto del documento ya usa en todos los demás cálculos.</w:t>
      </w:r>
    </w:p>
    <w:p>
      <w:pPr>
        <w:pStyle w:val="Heading1"/>
        <w:spacing w:after="160" w:before="360"/>
      </w:pPr>
      <w:r>
        <w:t xml:space="preserve">Lo que NO es necesario revisar de nuevo</w:t>
      </w:r>
    </w:p>
    <w:p>
      <w:pPr>
        <w:spacing w:after="150"/>
      </w:pPr>
      <w:r>
        <w:t xml:space="preserve">Para que quede explícito qué sí se verificó y ya está completo, sin ambigüedad, y no necesita más trabajo de contenido:</w:t>
      </w:r>
    </w:p>
    <w:p>
      <w:pPr>
        <w:pStyle w:val="ListParagraph"/>
        <w:numPr>
          <w:ilvl w:val="0"/>
          <w:numId w:val="1"/>
        </w:numPr>
        <w:spacing w:after="100"/>
      </w:pPr>
      <w:r>
        <w:t xml:space="preserve">La fórmula reactivo → dimensión → PRB → IGI, incluido el multiplicador de nivel de puesto (con tabla y ejemplo numérico completos) y el tope estructural del 95%.</w:t>
      </w:r>
    </w:p>
    <w:p>
      <w:pPr>
        <w:pStyle w:val="ListParagraph"/>
        <w:numPr>
          <w:ilvl w:val="0"/>
          <w:numId w:val="1"/>
        </w:numPr>
        <w:spacing w:after="100"/>
      </w:pPr>
      <w:r>
        <w:t xml:space="preserve">Las reglas de invalidación de los 5 indicadores de validez del protocolo (Azarosidad, Omisión, Aquiescencia, Contradicción, Deseabilidad Social): las cuatro primeras tienen umbrales numéricos exactos y accionables (marcados [HIPÓTESIS] — valores de partida razonados, a recalibrar con dato piloto, pero perfectamente implementables hoy); la Escala de Deseabilidad Social tiene sus 8 reactivos completos con 5 variantes cada uno.</w:t>
      </w:r>
    </w:p>
    <w:p>
      <w:pPr>
        <w:pStyle w:val="ListParagraph"/>
        <w:numPr>
          <w:ilvl w:val="0"/>
          <w:numId w:val="1"/>
        </w:numPr>
        <w:spacing w:after="100"/>
      </w:pPr>
      <w:r>
        <w:t xml:space="preserve">El banco de 210 reactivos sustantivos: 21 dimensiones × 10 reactivos × 5 variantes = 1,050 textos, cada uno con sus 16 campos de metadatos, dirección, par espejo y valor de opción — completo y verificado programáticamente (0 duplicados, distribución de tipos correcta, español neutro).</w:t>
      </w:r>
    </w:p>
    <w:p>
      <w:pPr>
        <w:pStyle w:val="ListParagraph"/>
        <w:numPr>
          <w:ilvl w:val="0"/>
          <w:numId w:val="1"/>
        </w:numPr>
        <w:spacing w:after="100"/>
      </w:pPr>
      <w:r>
        <w:t xml:space="preserve">El esquema completo de captura de contexto obligatorio (país) y opcional (edad, género, educación, industria, nivel de puesto 1-6, personal a cargo) que el sistema deberá pedir.</w:t>
      </w:r>
    </w:p>
    <w:p>
      <w:pPr>
        <w:pStyle w:val="ListParagraph"/>
        <w:numPr>
          <w:ilvl w:val="0"/>
          <w:numId w:val="1"/>
        </w:numPr>
        <w:spacing w:after="100"/>
      </w:pPr>
      <w:r>
        <w:t xml:space="preserve">La arquitectura de baremos (General + por país) y su regla de activación automática a ≥300 casos — completa como especificación, solo pendiente de datos reales para llenarla, lo cual es esperado en esta etapa.</w:t>
      </w:r>
    </w:p>
    <w:p>
      <w:pPr>
        <w:pStyle w:val="Heading1"/>
        <w:spacing w:after="160" w:before="360"/>
      </w:pPr>
      <w:r>
        <w:t xml:space="preserve">Recomendación de orden</w:t>
      </w:r>
    </w:p>
    <w:p>
      <w:pPr>
        <w:spacing w:after="150"/>
      </w:pPr>
      <w:r>
        <w:t xml:space="preserve">Los 6 puntos anteriores son, en su mayoría, trabajo de contenido/especificación que no depende de tener el software construido — se pueden resolver en paralelo, antes o durante el desarrollo, sin bloquear nada más:</w:t>
      </w:r>
    </w:p>
    <w:p>
      <w:pPr>
        <w:spacing w:after="150"/>
      </w:pPr>
      <w:r>
        <w:t xml:space="preserve">Redactar los 3-4 reactivos de control de Azarosidad (punto 1) y completar la hoja de puntos de corte provisionales (punto 6): son los dos de ejecución más rápida.</w:t>
      </w:r>
    </w:p>
    <w:p>
      <w:pPr>
        <w:spacing w:after="150"/>
      </w:pPr>
      <w:r>
        <w:t xml:space="preserve">Fijar, en una sola frase añadida a Fase 6 Sección 2, la regla de denominador para reactivos no respondidos (punto 2), y en Fase 10 Sección 2.2, la distancia mínima entre los dos reactivos de un par espejo (punto 3).</w:t>
      </w:r>
    </w:p>
    <w:p>
      <w:pPr>
        <w:spacing w:after="150"/>
      </w:pPr>
      <w:r>
        <w:t xml:space="preserve">Redactar la narrativa de reporte por nivel (punto 4) y, junto con George, decidir y redactar los arquetipos B2C (punto 5) — estos dos son el trabajo de contenido más extenso de la lista.</w:t>
      </w:r>
    </w:p>
    <w:p>
      <w:pPr>
        <w:spacing w:after="150"/>
      </w:pPr>
      <w:r>
        <w:t xml:space="preserve">Agregar el ejemplo numérico de renormalización de pesos (punto 7) como última pulida de documentación.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2026-09-15T12:21:20.141Z</dcterms:created>
  <dcterms:modified xsi:type="dcterms:W3CDTF">2026-09-15T12:21:20.152Z</dcterms:modified>
</cp:coreProperties>
</file>

<file path=docProps/custom.xml><?xml version="1.0" encoding="utf-8"?>
<Properties xmlns="http://schemas.openxmlformats.org/officeDocument/2006/custom-properties" xmlns:vt="http://schemas.openxmlformats.org/officeDocument/2006/docPropsVTypes"/>
</file>