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8"/>
          <w:szCs w:val="38"/>
        </w:rPr>
        <w:t xml:space="preserve">Diagnóstico de Elementos Faltantes para Operar</w:t>
      </w:r>
    </w:p>
    <w:p>
      <w:pPr>
        <w:spacing w:after="60"/>
        <w:jc w:val="center"/>
      </w:pPr>
      <w:r>
        <w:rPr>
          <w:i/>
          <w:iCs/>
        </w:rPr>
        <w:t xml:space="preserve">Auditoría desde el rol de psicólogo/psicómetra — [NOMBRE DEL INSTRUMENTO]</w:t>
      </w:r>
    </w:p>
    <w:p>
      <w:pPr>
        <w:spacing w:after="300"/>
        <w:jc w:val="center"/>
      </w:pPr>
      <w:r>
        <w:rPr>
          <w:sz w:val="20"/>
          <w:szCs w:val="20"/>
        </w:rPr>
        <w:t xml:space="preserve">Preparado para: George (jsuasnavas@gmail.com) · Fecha: 11 de septiembre de 2026</w:t>
      </w:r>
    </w:p>
    <w:p>
      <w:pPr>
        <w:spacing w:after="150"/>
      </w:pPr>
      <w:r>
        <w:rPr>
          <w:b/>
          <w:bCs/>
        </w:rPr>
        <w:t xml:space="preserve">Convención de evidencia: </w:t>
      </w:r>
      <w:r>
        <w:t xml:space="preserve">[HECHO] = ya resuelto en el diseño · [FALTA — CRÍTICO] = bloquea que el instrumento pueda operar en absoluto · [FALTA — PRE-PILOTO] = debe resolverse antes de aceptar el primer caso real · [FALTA — GOBERNANZA] = necesario para operar de forma sostenida una vez lanzado, no bloquea el primer piloto.</w:t>
      </w:r>
    </w:p>
    <w:p>
      <w:pPr>
        <w:spacing w:after="150"/>
      </w:pPr>
      <w:r>
        <w:rPr>
          <w:b/>
          <w:bCs/>
        </w:rPr>
        <w:t xml:space="preserve">[HECHO] </w:t>
      </w:r>
      <w:r>
        <w:t xml:space="preserve">George pidió una revisión, con rol de psicólogo y psicómetra profesional, de si el proyecto ya tiene todos los elementos necesarios para que la prueba opere correctamente, o qué le falta. Este documento responde esa pregunta de forma directa. Complementa, sin repetir, las Secciones 5-7 de Fase11_Resumen_Ejecutivo_Consolidado.docx (que ya listan pendientes de datos reales y de decisión de George): aquí se profundiza con la mirada de un psicólogo/psicómetra sobre TRES vacíos que ningún documento anterior había señalado de forma explícita (verificación de identidad, restricciones legales de ejercicio profesional por país, y el deber de cuidado ante contenido sensible), y se organiza todo — lo ya sabido y lo nuevo — en una sola respuesta priorizada.</w:t>
      </w:r>
    </w:p>
    <w:p>
      <w:pPr>
        <w:pStyle w:val="Heading1"/>
        <w:spacing w:after="160" w:before="360"/>
      </w:pPr>
      <w:r>
        <w:t xml:space="preserve">Respuesta directa</w:t>
      </w:r>
    </w:p>
    <w:p>
      <w:pPr>
        <w:spacing w:after="150"/>
      </w:pPr>
      <w:r>
        <w:rPr>
          <w:b/>
          <w:bCs/>
        </w:rPr>
        <w:t xml:space="preserve">No. </w:t>
      </w:r>
      <w:r>
        <w:t xml:space="preserve">El diseño psicométrico (Fases 1-12) está esencialmente completo y es inusualmente riguroso para esta etapa de un proyecto — la mayoría de los instrumentos comerciales de este tipo no documentan ni la mitad de lo que ya está aquí (fórmula auditable, indicadores de validez del protocolo, marco de confiabilidad/validez pre-registrado, arquitectura de baremos, deseabilidad social). Pero "que la prueba opere correctamente" tiene dos preguntas distintas, y solo una está resuelta:</w:t>
      </w:r>
    </w:p>
    <w:p>
      <w:pPr>
        <w:pStyle w:val="ListParagraph"/>
        <w:numPr>
          <w:ilvl w:val="0"/>
          <w:numId w:val="1"/>
        </w:numPr>
        <w:spacing w:after="100"/>
      </w:pPr>
      <w:r>
        <w:t xml:space="preserve">¿El diseño psicométrico es sólido y defendible? → SÍ, ya está.</w:t>
      </w:r>
    </w:p>
    <w:p>
      <w:pPr>
        <w:pStyle w:val="ListParagraph"/>
        <w:numPr>
          <w:ilvl w:val="0"/>
          <w:numId w:val="1"/>
        </w:numPr>
        <w:spacing w:after="100"/>
      </w:pPr>
      <w:r>
        <w:t xml:space="preserve">¿Existe hoy un sistema que una persona pueda usar y que produzca un resultado real? → NO. No existe ninguna aplicación, bot ni base de datos: los 12 documentos de Fase describen CÓMO debería funcionar el instrumento, pero nada de eso está construido todavía como software. Sin eso, el instrumento no puede operar en el sentido literal de la palabra, sin importar cuán bien diseñado esté el modelo psicométrico.</w:t>
      </w:r>
    </w:p>
    <w:p>
      <w:pPr>
        <w:spacing w:after="150"/>
      </w:pPr>
      <w:r>
        <w:t xml:space="preserve">El resto de este documento organiza, en orden de urgencia, todo lo que falta para pasar de "diseño completo" a "instrumento operando".</w:t>
      </w:r>
    </w:p>
    <w:p>
      <w:pPr>
        <w:pStyle w:val="Heading1"/>
        <w:spacing w:after="160" w:before="360"/>
      </w:pPr>
      <w:r>
        <w:t xml:space="preserve">1. FALTA — CRÍTICO: el sistema en sí no existe</w:t>
      </w:r>
    </w:p>
    <w:p>
      <w:pPr>
        <w:spacing w:after="150"/>
      </w:pPr>
      <w:r>
        <w:rPr>
          <w:b/>
          <w:bCs/>
        </w:rPr>
        <w:t xml:space="preserve">[HALLAZGO] </w:t>
      </w:r>
      <w:r>
        <w:t xml:space="preserve">Se revisó la carpeta completa del proyecto: los 12 documentos de Fase, el banco de reactivos y sus scripts de generación son documentación (Word/Excel/JSON), no una aplicación. No hay una sola línea de código de un bot de WhatsApp, una aplicación web, una base de datos de respuestas, ni un motor de cálculo ejecutable fuera de las fórmulas de Excel. El brief original de George pedía explícitamente "un sistema online que puede funcionar vía web o por medio de un bot de WhatsApp" — esa pieza, la más visible para cualquier usuario final, todavía no existe.</w:t>
      </w:r>
    </w:p>
    <w:p>
      <w:pPr>
        <w:spacing w:after="150"/>
      </w:pPr>
      <w:r>
        <w:t xml:space="preserve">Esto no es un defecto del trabajo psicométrico: el plan de trabajo (PLAN.md) nunca incluyó una fase de construcción de software, solo fases de diseño conceptual. Es, sin embargo, el vacío más grande entre "lo que hay" y "una prueba que opera". Sin un sistema real, ningún otro elemento de este documento puede ejecutarse (no hay dónde aplicar el consentimiento, ni dónde correr el piloto, ni cómo calcular un baremo).</w:t>
      </w:r>
    </w:p>
    <w:p>
      <w:pPr>
        <w:pStyle w:val="Heading2"/>
        <w:spacing w:after="120" w:before="240"/>
      </w:pPr>
      <w:r>
        <w:t xml:space="preserve">Lo que ese sistema necesita hacer, como mínimo (ya especificado en las Fases 6-10, falta implementarlo):</w:t>
      </w:r>
    </w:p>
    <w:p>
      <w:pPr>
        <w:pStyle w:val="ListParagraph"/>
        <w:numPr>
          <w:ilvl w:val="0"/>
          <w:numId w:val="1"/>
        </w:numPr>
        <w:spacing w:after="100"/>
      </w:pPr>
      <w:r>
        <w:t xml:space="preserve">Entregar los reactivos de la batería configurada (hasta 210), rotando entre las 5 variantes de redacción de cada uno y registrando cuál vio cada persona (DECISIONS.md punto 13).</w:t>
      </w:r>
    </w:p>
    <w:p>
      <w:pPr>
        <w:pStyle w:val="ListParagraph"/>
        <w:numPr>
          <w:ilvl w:val="0"/>
          <w:numId w:val="1"/>
        </w:numPr>
        <w:spacing w:after="100"/>
      </w:pPr>
      <w:r>
        <w:t xml:space="preserve">Capturar cada respuesta cruda junto con sus metadatos: tiempo de respuesta por reactivo, variante mostrada, y el país de aplicación de forma automática y obligatoria desde el primer caso (DECISIONS.md punto 39).</w:t>
      </w:r>
    </w:p>
    <w:p>
      <w:pPr>
        <w:pStyle w:val="ListParagraph"/>
        <w:numPr>
          <w:ilvl w:val="0"/>
          <w:numId w:val="1"/>
        </w:numPr>
        <w:spacing w:after="100"/>
      </w:pPr>
      <w:r>
        <w:t xml:space="preserve">Calcular en tiempo real la fórmula completa ya documentada: reactivo → dimensión → Puntaje de Riesgo Base → multiplicador de puesto → IGI reportado con su intervalo de confianza (cuando exista dato piloto) → los 5 indicadores de validez del protocolo, incluida la Escala de Deseabilidad Social (Fase 6, Fase 12).</w:t>
      </w:r>
    </w:p>
    <w:p>
      <w:pPr>
        <w:pStyle w:val="ListParagraph"/>
        <w:numPr>
          <w:ilvl w:val="0"/>
          <w:numId w:val="1"/>
        </w:numPr>
        <w:spacing w:after="100"/>
      </w:pPr>
      <w:r>
        <w:t xml:space="preserve">Generar la capa de salida correspondiente: arquetipo compartible (B2C gratuito) o reporte de riesgo para RRHH (B2B), con el semáforo de 3 colores y la advertencia de uso responsable (DECISIONS.md punto 38).</w:t>
      </w:r>
    </w:p>
    <w:p>
      <w:pPr>
        <w:pStyle w:val="ListParagraph"/>
        <w:numPr>
          <w:ilvl w:val="0"/>
          <w:numId w:val="1"/>
        </w:numPr>
        <w:spacing w:after="100"/>
      </w:pPr>
      <w:r>
        <w:t xml:space="preserve">Almacenar los datos de forma segura y con control de acceso diferenciado (dato individual vs. dato agregado), conforme al marco de consentimiento ya redactado en la Fase 8, Sección 5.3.</w:t>
      </w:r>
    </w:p>
    <w:p>
      <w:pPr>
        <w:spacing w:after="150"/>
      </w:pPr>
      <w:r>
        <w:rPr>
          <w:b/>
          <w:bCs/>
        </w:rPr>
        <w:t xml:space="preserve">[DECISIÓN DE GEORGE] </w:t>
      </w:r>
      <w:r>
        <w:t xml:space="preserve"> Ya está señalado en Fase 11, Sección 6: decidir la plataforma técnica de implementación (desarrollo propio, un motor de encuestas/formularios adaptado, o un proveedor de WhatsApp Business API) es una decisión de producto que este proyecto de diseño no toma por George.</w:t>
      </w:r>
    </w:p>
    <w:p>
      <w:pPr>
        <w:pStyle w:val="Heading1"/>
        <w:spacing w:after="160" w:before="360"/>
      </w:pPr>
      <w:r>
        <w:t xml:space="preserve">2. FALTA — PRE-PILOTO: pasos diseñados pero todavía no ejecutados</w:t>
      </w:r>
    </w:p>
    <w:p>
      <w:pPr>
        <w:spacing w:after="150"/>
      </w:pPr>
      <w:r>
        <w:t xml:space="preserve">Estos elementos ya tienen un diseño o un plan aprobado en algún documento de Fase, pero ninguno se ha llevado a cabo todavía. A diferencia de la Sección 1, no requieren escribir software — solo ejecutar el plan que ya existe — pero sí deben resolverse antes de aceptar el primer caso piloto real.</w:t>
      </w:r>
    </w:p>
    <w:p>
      <w:pPr>
        <w:pStyle w:val="Heading2"/>
        <w:spacing w:after="120" w:before="240"/>
      </w:pPr>
      <w:r>
        <w:t xml:space="preserve">2.1 Ya diseñados, solo falta ejecutarlos</w:t>
      </w:r>
    </w:p>
    <w:p>
      <w:pPr>
        <w:spacing w:after="100"/>
        <w:ind w:left="200"/>
      </w:pPr>
      <w:r>
        <w:t xml:space="preserve">☐  </w:t>
      </w:r>
      <w:r>
        <w:t xml:space="preserve">Panel de al menos 3-5 jueces expertos con la Razón de Validez de Contenido (CVR) de Lawshe sobre los 210 reactivos (DECISIONS.md punto 31; Fase 9, Sección 1) — diseñado, nunca convocado.</w:t>
      </w:r>
    </w:p>
    <w:p>
      <w:pPr>
        <w:spacing w:after="100"/>
        <w:ind w:left="200"/>
      </w:pPr>
      <w:r>
        <w:t xml:space="preserve">☐  </w:t>
      </w:r>
      <w:r>
        <w:t xml:space="preserve">Cognitive interviewing con 10-15 personas para confirmar que cada reactivo se interpreta como se diseñó (DECISIONS.md punto 31; Fase 9, Sección 1) — diseñado, nunca ejecutado.</w:t>
      </w:r>
    </w:p>
    <w:p>
      <w:pPr>
        <w:spacing w:after="100"/>
        <w:ind w:left="200"/>
      </w:pPr>
      <w:r>
        <w:t xml:space="preserve">☐  </w:t>
      </w:r>
      <w:r>
        <w:t xml:space="preserve">Revisión legal de cumplimiento normativo por país (protección de datos personales, legislación laboral y de pruebas psicológicas en selección) — identificada como pendiente en Fase 10 y Fase 11, todavía sin encargar a un despacho legal.</w:t>
      </w:r>
    </w:p>
    <w:p>
      <w:pPr>
        <w:pStyle w:val="Heading2"/>
        <w:spacing w:after="120" w:before="240"/>
      </w:pPr>
      <w:r>
        <w:t xml:space="preserve">2.2 Vacíos nuevos que ningún documento anterior había señalado</w:t>
      </w:r>
    </w:p>
    <w:p>
      <w:pPr>
        <w:spacing w:after="150"/>
      </w:pPr>
      <w:r>
        <w:rPr>
          <w:b/>
          <w:bCs/>
        </w:rPr>
        <w:t xml:space="preserve">a) Restricción legal de ejercicio profesional por país (hallazgo de esta revisión). </w:t>
      </w:r>
      <w:r>
        <w:t xml:space="preserve">En varias jurisdicciones hispanohablantes (por ejemplo, Colombia bajo la Ley 1090 de 2006, que regula el ejercicio de la psicología y restringe la aplicación e interpretación de "instrumentos de evaluación psicológica" a psicólogos con tarjeta profesional vigente; existen restricciones análogas, con distinto alcance, en otros países de la región), un instrumento como este puede estar legalmente restringido en cuanto a quién puede administrarlo, interpretarlo o venderlo como herramienta de selección. Esto es distinto y más específico que la "revisión legal de cumplimiento normativo" genérica ya señalada en Fase 10/11: afecta directamente si el modelo B2B puede ser 100% self-service (una empresa se suscribe y usa el reporte sin ningún psicólogo de por medio) o si, en ciertos países, necesita mediarse por un profesional colegiado — lo cual cambiaría el modelo de producto, no solo el papeleo legal. Debe resolverse país por país, junto con la revisión legal ya prevista.</w:t>
      </w:r>
    </w:p>
    <w:p>
      <w:pPr>
        <w:spacing w:after="150"/>
      </w:pPr>
      <w:r>
        <w:rPr>
          <w:b/>
          <w:bCs/>
        </w:rPr>
        <w:t xml:space="preserve">b) Verificación de identidad / suplantación (hallazgo de esta revisión). </w:t>
      </w:r>
      <w:r>
        <w:t xml:space="preserve">El diseño ya establece que cada persona responde una sola vez, en una sola sesión (DECISIONS.md punto 14), pero en ningún documento se define cómo el sistema comprueba que quien responde es realmente la persona evaluada, y no otra que responde en su lugar, ni cómo se evita que la misma persona tome el test más de una vez usando un número de WhatsApp o correo distinto para intentar mejorar su resultado. En un test no supervisado y remoto usado para decisiones de contratación, esto es un riesgo real de validez (no solo de fraude): sin algún mecanismo de verificación (vínculo con la cuenta de WhatsApp verificada, correo corporativo en B2B, o un paso de verificación de identidad en el canal web), un resultado individual no puede garantizarse como perteneciente a la persona evaluada.</w:t>
      </w:r>
    </w:p>
    <w:p>
      <w:pPr>
        <w:spacing w:after="150"/>
      </w:pPr>
      <w:r>
        <w:rPr>
          <w:b/>
          <w:bCs/>
        </w:rPr>
        <w:t xml:space="preserve">c) Deber de cuidado ante contenido sensible (hallazgo de esta revisión). </w:t>
      </w:r>
      <w:r>
        <w:t xml:space="preserve">Varias dimensiones del banco tratan temas sensibles (Violencia, Sustancias Ilícitas, Ludopatía). Ningún documento define si el sistema debe mostrar algún mensaje de cierre o recurso de apoyo cuando el patrón de respuestas de una persona sugiere un riesgo alto en esas áreas — no como parte del cálculo del IGI (que no debe alterarse), sino como una consideración ética de cuidado hacia la persona que respondió, independiente del uso comercial del resultado. Es una decisión de producto/ética, no un requisito psicométrico, pero un psicólogo profesional revisando el instrumento debe dejarla planteada.</w:t>
      </w:r>
    </w:p>
    <w:p>
      <w:pPr>
        <w:spacing w:after="150"/>
      </w:pPr>
      <w:r>
        <w:rPr>
          <w:b/>
          <w:bCs/>
        </w:rPr>
        <w:t xml:space="preserve">d) Seguridad del test en un canal no supervisado (hallazgo de esta revisión). </w:t>
      </w:r>
      <w:r>
        <w:t xml:space="preserve">Los 5 indicadores de validez del protocolo (Azarosidad, Omisión, Aquiescencia, Contradicción, Deseabilidad Social) detectan patrones de respuesta problemáticos DESPUÉS de que la persona terminó. Ningún documento define controles DURANTE la aplicación para un canal no supervisado: límite de tiempo razonable por reactivo o por sesión completa, bloqueo de retroceso para corregir respuestas ya dadas una vez avanza el flujo, o registro de si la sesión se interrumpió y se reanudó (lo que podría indicar que la persona consultó con alguien más a mitad del test).</w:t>
      </w:r>
    </w:p>
    <w:p>
      <w:pPr>
        <w:pStyle w:val="Heading1"/>
        <w:spacing w:after="160" w:before="360"/>
      </w:pPr>
      <w:r>
        <w:t xml:space="preserve">3. FALTA — DATOS EMPÍRICOS (esperado en esta etapa; ya bien pre-registrado, solo falta ejecutar el piloto)</w:t>
      </w:r>
    </w:p>
    <w:p>
      <w:pPr>
        <w:spacing w:after="150"/>
      </w:pPr>
      <w:r>
        <w:t xml:space="preserve">Esta categoría no es un defecto de diseño — es, con toda normalidad, lo que cualquier instrumento nuevo le debe al momento de la validación real, y este proyecto ya la dejó correctamente pre-registrada (DECISIONS.md puntos 30-34) en vez de simularla. Se resume aquí solo para que la lista quede completa; el detalle ya está en Fase 8, Fase 9 y Fase 11 Sección 5.</w:t>
      </w:r>
    </w:p>
    <w:p>
      <w:pPr>
        <w:spacing w:after="100"/>
        <w:ind w:left="200"/>
      </w:pPr>
      <w:r>
        <w:t xml:space="preserve">☐  </w:t>
      </w:r>
      <w:r>
        <w:t xml:space="preserve">Ejecutar el piloto (mínimo 400-800 casos combinados) y calcular la primera norma real (media, desviación estándar, percentiles del IGI).</w:t>
      </w:r>
    </w:p>
    <w:p>
      <w:pPr>
        <w:spacing w:after="100"/>
        <w:ind w:left="200"/>
      </w:pPr>
      <w:r>
        <w:t xml:space="preserve">☐  </w:t>
      </w:r>
      <w:r>
        <w:t xml:space="preserve">Confiabilidad real: Omega de McDonald por dimensión y del IGI general, Alfa como referencia, y confiabilidad test-retest (subconjunto de 50-100 personas).</w:t>
      </w:r>
    </w:p>
    <w:p>
      <w:pPr>
        <w:spacing w:after="100"/>
        <w:ind w:left="200"/>
      </w:pPr>
      <w:r>
        <w:t xml:space="preserve">☐  </w:t>
      </w:r>
      <w:r>
        <w:t xml:space="preserve">Validez real: estructura interna (AFE/AFC/DIF), convergente/discriminante (Big Five), de criterio y de grupos conocidos.</w:t>
      </w:r>
    </w:p>
    <w:p>
      <w:pPr>
        <w:spacing w:after="100"/>
        <w:ind w:left="200"/>
      </w:pPr>
      <w:r>
        <w:t xml:space="preserve">☐  </w:t>
      </w:r>
      <w:r>
        <w:t xml:space="preserve">Puntos de corte de los 6 niveles y el semáforo, calculados empíricamente (hoy son solo el marco, sin percentiles reales).</w:t>
      </w:r>
    </w:p>
    <w:p>
      <w:pPr>
        <w:spacing w:after="100"/>
        <w:ind w:left="200"/>
      </w:pPr>
      <w:r>
        <w:t xml:space="preserve">☐  </w:t>
      </w:r>
      <w:r>
        <w:t xml:space="preserve">SEM e intervalo de confianza del 95% del IGI, calculables solo una vez exista Confiabilidad_IGI real.</w:t>
      </w:r>
    </w:p>
    <w:p>
      <w:pPr>
        <w:spacing w:after="100"/>
        <w:ind w:left="200"/>
      </w:pPr>
      <w:r>
        <w:t xml:space="preserve">☐  </w:t>
      </w:r>
      <w:r>
        <w:t xml:space="preserve">Baremo General y baremos por país, activándose conforme cada país acumule volumen (arquitectura ya lista, solo falta la data).</w:t>
      </w:r>
    </w:p>
    <w:p>
      <w:pPr>
        <w:spacing w:after="100"/>
        <w:ind w:left="200"/>
      </w:pPr>
      <w:r>
        <w:t xml:space="preserve">☐  </w:t>
      </w:r>
      <w:r>
        <w:t xml:space="preserve">Impacto adverso (regla 4/5) calculado sobre resultados reales de selección, no solo declarado como metodología.</w:t>
      </w:r>
    </w:p>
    <w:p>
      <w:pPr>
        <w:pStyle w:val="Heading1"/>
        <w:spacing w:after="160" w:before="360"/>
      </w:pPr>
      <w:r>
        <w:t xml:space="preserve">4. FALTA — GOBERNANZA CONTINUA (no bloquea el primer piloto, pero sin esto la operación no es sostenible)</w:t>
      </w:r>
    </w:p>
    <w:p>
      <w:pPr>
        <w:spacing w:after="150"/>
      </w:pPr>
      <w:r>
        <w:t xml:space="preserve">Estos elementos importan una vez el instrumento ya esté en uso real, para que sigua siendo válido y defendible con el tiempo, no solo el primer día:</w:t>
      </w:r>
    </w:p>
    <w:p>
      <w:pPr>
        <w:spacing w:after="100"/>
        <w:ind w:left="200"/>
      </w:pPr>
      <w:r>
        <w:t xml:space="preserve">☐  </w:t>
      </w:r>
      <w:r>
        <w:t xml:space="preserve">Recalibración periódica de baremos (ya definida la cadencia: +20% de casos nuevos o cada 6 meses) y de los pesos de las 12 dimensiones Núcleo si el análisis factorial lo justifica.</w:t>
      </w:r>
    </w:p>
    <w:p>
      <w:pPr>
        <w:spacing w:after="100"/>
        <w:ind w:left="200"/>
      </w:pPr>
      <w:r>
        <w:t xml:space="preserve">☐  </w:t>
      </w:r>
      <w:r>
        <w:t xml:space="preserve">Control de versiones del banco de reactivos (equating hacia TRI): si un reactivo se corrige o reemplaza después del piloto (como ya ocurrió esta misma sesión con los reactivos pas1), debe quedar un registro que permita comparar resultados de antes y después del cambio sin romper la continuidad histórica — la arquitectura para esto ya existe (DECISIONS.md punto 36), falta el proceso operativo de quién aprueba un cambio de reactivo una vez el banco esté "vivo" con datos reales.</w:t>
      </w:r>
    </w:p>
    <w:p>
      <w:pPr>
        <w:spacing w:after="100"/>
        <w:ind w:left="200"/>
      </w:pPr>
      <w:r>
        <w:t xml:space="preserve">☐  </w:t>
      </w:r>
      <w:r>
        <w:t xml:space="preserve">Política de repetición (retest): cada cuánto tiempo puede la misma persona volver a tomar el test (por ejemplo, para un proceso de ascenso posterior) sin que el efecto de práctica o el recuerdo de sus respuestas anteriores distorsione el resultado. No está definida.</w:t>
      </w:r>
    </w:p>
    <w:p>
      <w:pPr>
        <w:spacing w:after="100"/>
        <w:ind w:left="200"/>
      </w:pPr>
      <w:r>
        <w:t xml:space="preserve">☐  </w:t>
      </w:r>
      <w:r>
        <w:t xml:space="preserve">Capacitación de los usuarios de RRHH que van a leer el reporte B2B: la advertencia de "el IGI nunca debe ser el único criterio" (DECISIONS.md punto 38) solo protege a George y al candidato si la persona de RRHH realmente la lee y la entiende — conviene un material breve de capacitación, no solo una nota en el reporte.</w:t>
      </w:r>
    </w:p>
    <w:p>
      <w:pPr>
        <w:spacing w:after="100"/>
        <w:ind w:left="200"/>
      </w:pPr>
      <w:r>
        <w:t xml:space="preserve">☐  </w:t>
      </w:r>
      <w:r>
        <w:t xml:space="preserve">Monitoreo continuo de impacto adverso en producción, no solo en el análisis inicial del piloto: la composición demográfica de quién aplica puede cambiar con el tiempo y con cada nuevo cliente B2B.</w:t>
      </w:r>
    </w:p>
    <w:p>
      <w:pPr>
        <w:pStyle w:val="Heading1"/>
        <w:spacing w:after="160" w:before="360"/>
      </w:pPr>
      <w:r>
        <w:t xml:space="preserve">5. Orden recomendado de trabajo</w:t>
      </w:r>
    </w:p>
    <w:p>
      <w:pPr>
        <w:spacing w:after="150"/>
      </w:pPr>
      <w:r>
        <w:t xml:space="preserve">Como psicólogo/psicómetra, y no como asesor de producto, este es el orden que minimiza riesgo: hacer el piloto sin sistema no es posible, y hacer el sistema sin resolver el marco legal/ético expone a George a un riesgo evitable desde el primer caso real.</w:t>
      </w:r>
    </w:p>
    <w:p>
      <w:pPr>
        <w:spacing w:after="150"/>
      </w:pPr>
      <w:r>
        <w:t xml:space="preserve">1. Decidir la plataforma técnica y construir el sistema mínimo funcional (Sección 1) que implemente las fórmulas y flujos ya documentados — sin esto nada de lo demás puede ejecutarse.</w:t>
      </w:r>
    </w:p>
    <w:p>
      <w:pPr>
        <w:spacing w:after="150"/>
      </w:pPr>
      <w:r>
        <w:t xml:space="preserve">2. Resolver, en paralelo, el marco legal/regulatorio por país objetivo de lanzamiento: protección de datos, restricción de ejercicio profesional (Sección 2.2a), y el texto final de consentimiento informado (ya redactado en Fase 8, falta validación legal).</w:t>
      </w:r>
    </w:p>
    <w:p>
      <w:pPr>
        <w:spacing w:after="150"/>
      </w:pPr>
      <w:r>
        <w:t xml:space="preserve">3. Ejecutar el panel de jueces (CVR) y el cognitive interviewing (Sección 2.1) — son rápidos, no requieren el sistema completo, y pueden depurar el banco de reactivos antes de gastar los primeros casos piloto en ellos.</w:t>
      </w:r>
    </w:p>
    <w:p>
      <w:pPr>
        <w:spacing w:after="150"/>
      </w:pPr>
      <w:r>
        <w:t xml:space="preserve">4. Definir el mecanismo de verificación de identidad (Sección 2.2b) como parte del sistema, no como un ajuste posterior.</w:t>
      </w:r>
    </w:p>
    <w:p>
      <w:pPr>
        <w:spacing w:after="150"/>
      </w:pPr>
      <w:r>
        <w:t xml:space="preserve">5. Lanzar el piloto (Sección 3) con las organizaciones B2B y el canal B2C ya identificados como pendientes de decisión en Fase 11.</w:t>
      </w:r>
    </w:p>
    <w:p>
      <w:pPr>
        <w:spacing w:after="150"/>
      </w:pPr>
      <w:r>
        <w:t xml:space="preserve">6. Ejecutar el plan de validación completo (Fase 9) sobre los datos reales, y solo entonces reportar el IGI con intervalo de confianza, baremos y puntos de corte reales en vez de placeholders.</w:t>
      </w:r>
    </w:p>
    <w:p>
      <w:pPr>
        <w:pStyle w:val="Heading1"/>
        <w:spacing w:after="160" w:before="360"/>
      </w:pPr>
      <w:r>
        <w:t xml:space="preserve">6. Conclusión</w:t>
      </w:r>
    </w:p>
    <w:p>
      <w:pPr>
        <w:spacing w:after="150"/>
      </w:pPr>
      <w:r>
        <w:rPr>
          <w:b/>
          <w:bCs/>
        </w:rPr>
        <w:t xml:space="preserve">El motor psicométrico ya está completo y es defendible profesionalmente. </w:t>
      </w:r>
      <w:r>
        <w:t xml:space="preserve">Lo que falta para que "opere" no es más diseño de dimensiones, reactivos o fórmulas — es construir el sistema que ejecute ese diseño, resolver un puñado de vacíos legales/éticos que ningún documento anterior había puesto sobre la mesa (ejercicio profesional restringido por país, verificación de identidad, deber de cuidado), y luego —solo entonces— alimentar todo con datos reales de un piloto. Ese es el camino que queda, y ya está priorizado arriba.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2026-09-11T16:17:00.693Z</dcterms:created>
  <dcterms:modified xsi:type="dcterms:W3CDTF">2026-09-11T16:17:00.710Z</dcterms:modified>
</cp:coreProperties>
</file>

<file path=docProps/custom.xml><?xml version="1.0" encoding="utf-8"?>
<Properties xmlns="http://schemas.openxmlformats.org/officeDocument/2006/custom-properties" xmlns:vt="http://schemas.openxmlformats.org/officeDocument/2006/docPropsVTypes"/>
</file>