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8"/>
          <w:szCs w:val="38"/>
        </w:rPr>
        <w:t xml:space="preserve">Diagnóstico de Lógica y Vacíos Técnicos/Metodológicos</w:t>
      </w:r>
    </w:p>
    <w:p>
      <w:pPr>
        <w:spacing w:after="60"/>
        <w:jc w:val="center"/>
      </w:pPr>
      <w:r>
        <w:rPr>
          <w:i/>
          <w:iCs/>
        </w:rPr>
        <w:t xml:space="preserve">Auditoría post-reconciliación — Fases 1-12 + Arquitectura de Producto/Software (12 documentos)</w:t>
      </w:r>
    </w:p>
    <w:p>
      <w:pPr>
        <w:spacing w:after="300"/>
        <w:jc w:val="center"/>
      </w:pPr>
      <w:r>
        <w:rPr>
          <w:sz w:val="20"/>
          <w:szCs w:val="20"/>
        </w:rPr>
        <w:t xml:space="preserve">Preparado para: George (jsuasnavas@gmail.com) · Fecha: 16 de septiembre de 2026</w:t>
      </w:r>
    </w:p>
    <w:p>
      <w:pPr>
        <w:spacing w:after="150"/>
      </w:pPr>
      <w:r>
        <w:rPr>
          <w:b/>
          <w:bCs/>
        </w:rPr>
        <w:t xml:space="preserve">[ALCANCE] </w:t>
      </w:r>
      <w:r>
        <w:t xml:space="preserve">George pidió revisar de nuevo cada documento (los 12 de Fase 1-12 y los 12 de arquitectura de producto/software, ya reconciliados el mismo día) y verificar que todo tenga lógica, sin vacíos técnicos o metodológicos que impidan el correcto funcionamiento del test. Para esto se rastrearon 6 hilos de auditoría en paralelo, cada uno de solo lectura (sin editar nada): (A) ciclo de vida completo de una aplicación, candidato a resultado; (B) motor de cálculo y los 5 indicadores de validez; (C) baremos por país, slots duales y variantes de redacción; (D) backlog/roadmap/plan MVP contra cada mecanismo real del diseño; (E) wireframes contra el motor real, pantalla por pantalla; (F) consistencia ENTRE los 12 documentos de producto/software entre sí (riesgo propio de haberlos corregido en la ronda anterior con 7 sub-agentes trabajando en paralelo, sin verse entre ellos).</w:t>
      </w:r>
    </w:p>
    <w:p>
      <w:pPr>
        <w:pStyle w:val="Heading1"/>
        <w:spacing w:after="160" w:before="360"/>
      </w:pPr>
      <w:r>
        <w:t xml:space="preserve">Respuesta directa</w:t>
      </w:r>
    </w:p>
    <w:p>
      <w:pPr>
        <w:spacing w:after="150"/>
      </w:pPr>
      <w:r>
        <w:rPr>
          <w:b/>
          <w:bCs/>
        </w:rPr>
        <w:t xml:space="preserve">No, todavía no. </w:t>
      </w:r>
      <w:r>
        <w:t xml:space="preserve">La reconciliación del punto 43 (mismo día) cerró casi todas las discrepancias de cifras/fórmulas/terminología entre el diseño psicométrico y la capa de producto/software, y esa parte del trabajo se sostiene: la fórmula PRB→IGI, los 6 niveles, las 21 dimensiones y el banco de 210+63+8+6+6 reactivos están correctos y consistentes en todo el corpus. Pero esta auditoría más profunda — que no compara documento contra documento sino que rastrea si CADA MECANISMO REAL puede efectivamente ejecutarse sin inventar nada — encontró </w:t>
      </w:r>
      <w:r>
        <w:rPr>
          <w:b/>
          <w:bCs/>
        </w:rPr>
        <w:t xml:space="preserve">4 vacíos críticos</w:t>
      </w:r>
      <w:r>
        <w:t xml:space="preserve"> (uno de ellos una contradicción directa con una regla de negocio explícita de George) y </w:t>
      </w:r>
      <w:r>
        <w:rPr>
          <w:b/>
          <w:bCs/>
        </w:rPr>
        <w:t xml:space="preserve">9 vacíos metodológicos altos</w:t>
      </w:r>
      <w:r>
        <w:t xml:space="preserve"> (reglas de cálculo sin fórmula numérica, o mecanismos sin ningún ítem de trabajo que garantice que se construyan), además de </w:t>
      </w:r>
      <w:r>
        <w:rPr>
          <w:b/>
          <w:bCs/>
        </w:rPr>
        <w:t xml:space="preserve">15 hallazgos medios/menores</w:t>
      </w:r>
      <w:r>
        <w:t xml:space="preserve"> de menor riesgo. Ninguno de los 4 críticos es difícil de cerrar — todos tienen una solución concreta de una sola decisión o de agregar 1-2 frases — pero si se construye el software sobre el material tal como está hoy, cada uno de los 4 produciría un comportamiento real distinto al que el propio proyecto ya decidió.</w:t>
      </w:r>
    </w:p>
    <w:p>
      <w:pPr>
        <w:pStyle w:val="Heading1"/>
        <w:spacing w:after="160" w:before="360"/>
      </w:pPr>
      <w:r>
        <w:t xml:space="preserve">Vacíos CRÍTICOS (4) — contradicen una regla de negocio ya decidida, o rompen matemáticamente un mecanismo</w:t>
      </w:r>
    </w:p>
    <w:p>
      <w:pPr>
        <w:pStyle w:val="Heading2"/>
        <w:spacing w:after="120" w:before="240"/>
      </w:pPr>
      <w:r>
        <w:t xml:space="preserve">C1. "Reutilizar evaluación vigente" viola directamente el punto 14 de DECISIONS.md</w:t>
      </w:r>
    </w:p>
    <w:p>
      <w:pPr>
        <w:spacing w:after="150"/>
      </w:pPr>
      <w:r>
        <w:rPr>
          <w:b/>
          <w:bCs/>
        </w:rPr>
        <w:t xml:space="preserve">[HALLAZGO] </w:t>
      </w:r>
      <w:r>
        <w:t xml:space="preserve">DECISIONS.md es explícito: si alguien que ya tomó solo la versión B2C gratuita necesita después el reporte B2B pago, NO se completan sus respuestas — se reaplica el test completo, con variantes de redacción distintas a las que ya vio. Dos hilos de auditoría distintos (ciclo de vida y wireframes), trabajando por separado, encontraron el mismo problema: los wireframes de candidato (pantallas W15 y W18: "Tu evaluación base está vigente. No necesitas repetirla. Necesitamos evaluar 3 dimensiones adicionales") y del dashboard empresarial (E09: "Podemos reutilizar 6 resultados existentes" / "CONTINUAR CON DATOS VIGENTES"; E10, E11, E24) implementan exactamente el flujo prohibido: reutilizar resultados vigentes y solo pedir lo que falta. El PRD Funcional también lo tiene como mecanismo de producto (historia PERF-003). La ronda de reconciliación del punto 43 no llegó a revisar este flujo específico.</w:t>
      </w:r>
    </w:p>
    <w:p>
      <w:pPr>
        <w:spacing w:after="150"/>
      </w:pPr>
      <w:r>
        <w:rPr>
          <w:b/>
          <w:bCs/>
        </w:rPr>
        <w:t xml:space="preserve">Por qué importa: </w:t>
      </w:r>
      <w:r>
        <w:t xml:space="preserve">tal como está wireframeado y especificado en el PRD hoy, el sistema NUNCA ejecutaría la reaplicación completa que el diseño exige — haría justo lo que George decidió explícitamente que no se hiciera.</w:t>
      </w:r>
    </w:p>
    <w:p>
      <w:pPr>
        <w:pStyle w:val="Heading2"/>
        <w:spacing w:after="120" w:before="240"/>
      </w:pPr>
      <w:r>
        <w:t xml:space="preserve">C2. El arquetipo B2C usa dimensiones que la batería B2C nunca recolecta</w:t>
      </w:r>
    </w:p>
    <w:p>
      <w:pPr>
        <w:spacing w:after="150"/>
      </w:pPr>
      <w:r>
        <w:rPr>
          <w:b/>
          <w:bCs/>
        </w:rPr>
        <w:t xml:space="preserve">[HALLAZGO] </w:t>
      </w:r>
      <w:r>
        <w:t xml:space="preserve">Fase 10, Sección 7 construye los 11 arquetipos a partir de 4 familias temáticas que combinan las 5 dimensiones Base con dimensiones Núcleo Adicionales (ej. una familia usa Robo + Fraude + Abuso de Recursos, este último Adicional). Pero la batería B2C es, en absolutamente todos los documentos, solo las 5 Base (50 reactivos) — nunca recolecta las Adicionales. La propia Especificación del Motor de Scoring lo marca como pregunta abierta ("¿arquetipo con 5 Base o con todo el Núcleo?"), pero el PRD Funcional ya "cerró" la respuesta en el sentido contrario ("solo las 5 Base") sin notar que eso hace matemáticamente imposible calcular la tabla de familias tal como está redactada hoy.</w:t>
      </w:r>
    </w:p>
    <w:p>
      <w:pPr>
        <w:spacing w:after="150"/>
      </w:pPr>
      <w:r>
        <w:rPr>
          <w:b/>
          <w:bCs/>
        </w:rPr>
        <w:t xml:space="preserve">Por qué importa: </w:t>
      </w:r>
      <w:r>
        <w:t xml:space="preserve">nadie puede construir la pantalla de resultado B2C (el gancho viral de todo el modelo de negocio, punto 11 de DECISIONS.md) sin resolver primero si los 11 arquetipos se rediseñan para depender solo de las 5 Base, o si la batería B2C se amplía. Es una decisión real, no un detalle de redacción.</w:t>
      </w:r>
    </w:p>
    <w:p>
      <w:pPr>
        <w:pStyle w:val="Heading2"/>
        <w:spacing w:after="120" w:before="240"/>
      </w:pPr>
      <w:r>
        <w:t xml:space="preserve">C3. "Exigencia 1-6 por dimensión" quedó retirada en unos documentos y viva en otros — la propia ronda de reconciliación se contradice a sí misma</w:t>
      </w:r>
    </w:p>
    <w:p>
      <w:pPr>
        <w:spacing w:after="150"/>
      </w:pPr>
      <w:r>
        <w:rPr>
          <w:b/>
          <w:bCs/>
        </w:rPr>
        <w:t xml:space="preserve">[HALLAZGO] </w:t>
      </w:r>
      <w:r>
        <w:t xml:space="preserve">En el turno anterior, George confirmó retirar este concepto (AskUserQuestion) en favor del multiplicador único por nivel de puesto + personal a cargo, y se corrigieron 3 documentos (Documento Maestro V2, Blueprint Funcional, wireframe del dashboard). El hilo de auditoría F encontró que el concepto sigue VIVO, sin ninguna nota de retiro, en otros 6 lugares que la ronda anterior no tocó: Documento_Maestro_Final (Secciones 26-27, "cada perfil de cargo debe capturar... nivel de exigencia"), la Especificación del Motor de Scoring (un campo `RequirementLevel = 1..6` real, en dos secciones), la Arquitectura de Datos (columna `job_profile_dimension.requirement_level` y `InterpretationTemplate.requirement_level`), y como ítems de trabajo activos en el Backlog Maestro (JOB-005), el Plan de Construcción MVP (Sprint 15) y la Matriz RACI/Roadmap (Hito 4).</w:t>
      </w:r>
    </w:p>
    <w:p>
      <w:pPr>
        <w:spacing w:after="150"/>
      </w:pPr>
      <w:r>
        <w:rPr>
          <w:b/>
          <w:bCs/>
        </w:rPr>
        <w:t xml:space="preserve">Por qué importa: </w:t>
      </w:r>
      <w:r>
        <w:t xml:space="preserve">esto es un efecto secundario real de la ronda anterior: al resolver la pregunta abierta solo donde se había detectado (3 de 12 documentos), quedó un corpus dividido en dos bloques que se contradicen entre sí sin que ningún documento lo sepa. Es el hallazgo que más directamente demuestra la necesidad de esta segunda auditoría.</w:t>
      </w:r>
    </w:p>
    <w:p>
      <w:pPr>
        <w:pStyle w:val="Heading2"/>
        <w:spacing w:after="120" w:before="240"/>
      </w:pPr>
      <w:r>
        <w:t xml:space="preserve">C4. La regla de "Completitud" del motor de software bloquea el score si falta 1 solo reactivo — contradice el indicador de Omisión y el principio "nunca excluir"</w:t>
      </w:r>
    </w:p>
    <w:p>
      <w:pPr>
        <w:spacing w:after="150"/>
      </w:pPr>
      <w:r>
        <w:rPr>
          <w:b/>
          <w:bCs/>
        </w:rPr>
        <w:t xml:space="preserve">[HALLAZGO] </w:t>
      </w:r>
      <w:r>
        <w:t xml:space="preserve">La Especificación del Motor de Scoring dice, dos veces, que basta con que falte un solo reactivo obligatorio sin responder en toda la aplicación para que el motor NO genere ningún score (estado "no interpretable"). Esto es incompatible con: (a) la propia Fase 2 (Sección 5.2), que define una tolerancia graduada de omisión (hasta 25% por dimensión / 15% del total) antes de invalidar, nunca un bloqueo total por 1 reactivo; (b) el campo `items_answered_count` de la Arquitectura de Datos, documentado como "puede ser menor que items_administered_count" — es decir, el propio modelo de datos asume que se puede calcular con menos reactivos; y (c) el punto 23 de DECISIONS.md: "la invalidación NUNCA cambia el número calculado — solo cambia cómo se muestra". El Backlog Maestro agrava esto con un ítem (QLT-008, prioridad MUST) que ordena literalmente "bloquear resultado no interpretable".</w:t>
      </w:r>
    </w:p>
    <w:p>
      <w:pPr>
        <w:spacing w:after="150"/>
      </w:pPr>
      <w:r>
        <w:rPr>
          <w:b/>
          <w:bCs/>
        </w:rPr>
        <w:t xml:space="preserve">Por qué importa: </w:t>
      </w:r>
      <w:r>
        <w:t xml:space="preserve">si se construye tal como está escrito, el software haría exactamente lo contrario de lo que George pidió: ocultaría/bloquearía resultados en vez de mostrarlos en gris con advertencia. Además, ningún documento define qué reactivos son "obligatorios" — con la regla actual el mecanismo de tolerancia de Omisión sería, en la práctica, inalcanzable.</w:t>
      </w:r>
    </w:p>
    <w:p>
      <w:pPr>
        <w:pStyle w:val="Heading1"/>
        <w:spacing w:after="160" w:before="360"/>
      </w:pPr>
      <w:r>
        <w:t xml:space="preserve">Vacíos ALTOS (9) — reglas de cálculo sin fórmula numérica, o mecanismos reales sin ningún ítem de trabajo que garantice construirlos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900"/>
      </w:tblGrid>
      <w:tr>
        <w:tc>
          <w:tcPr>
            <w:tcW w:type="dxa" w:w="700"/>
            <w:shd w:fill="1F3864" w:val="clear"/>
          </w:tcPr>
          <w:p>
            <w:r>
              <w:rPr>
                <w:b/>
                <w:bCs/>
                <w:color w:val="FFFFFF"/>
                <w:sz w:val="18"/>
                <w:szCs w:val="18"/>
              </w:rPr>
              <w:t xml:space="preserve">#</w:t>
            </w:r>
          </w:p>
        </w:tc>
        <w:tc>
          <w:tcPr>
            <w:tcW w:type="dxa" w:w="3200"/>
            <w:shd w:fill="1F3864" w:val="clear"/>
          </w:tcPr>
          <w:p>
            <w:r>
              <w:rPr>
                <w:b/>
                <w:bCs/>
                <w:color w:val="FFFFFF"/>
                <w:sz w:val="18"/>
                <w:szCs w:val="18"/>
              </w:rPr>
              <w:t xml:space="preserve">Vacío</w:t>
            </w:r>
          </w:p>
        </w:tc>
        <w:tc>
          <w:tcPr>
            <w:tcW w:type="dxa" w:w="5900"/>
            <w:shd w:fill="1F3864" w:val="clear"/>
          </w:tcPr>
          <w:p>
            <w:r>
              <w:rPr>
                <w:b/>
                <w:bCs/>
                <w:color w:val="FFFFFF"/>
                <w:sz w:val="18"/>
                <w:szCs w:val="18"/>
              </w:rPr>
              <w:t xml:space="preserve">Detalle</w:t>
            </w:r>
          </w:p>
        </w:tc>
      </w:tr>
      <w:tr>
        <w:tc>
          <w:tcPr>
            <w:tcW w:type="dxa" w:w="700"/>
          </w:tcPr>
          <w:p>
            <w:r>
              <w:rPr>
                <w:b w:val="false"/>
                <w:bCs w:val="false"/>
                <w:sz w:val="18"/>
                <w:szCs w:val="18"/>
              </w:rPr>
              <w:t xml:space="preserve">A1</w:t>
            </w:r>
          </w:p>
        </w:tc>
        <w:tc>
          <w:tcPr>
            <w:tcW w:type="dxa" w:w="3200"/>
          </w:tcPr>
          <w:p>
            <w:r>
              <w:rPr>
                <w:b w:val="false"/>
                <w:bCs w:val="false"/>
                <w:sz w:val="18"/>
                <w:szCs w:val="18"/>
              </w:rPr>
              <w:t xml:space="preserve">Aquiescencia y Contradicción: sin fórmula/umbral numérico DENTRO de una dimensión</w:t>
            </w:r>
          </w:p>
        </w:tc>
        <w:tc>
          <w:tcPr>
            <w:tcW w:type="dxa" w:w="5900"/>
          </w:tcPr>
          <w:p>
            <w:r>
              <w:rPr>
                <w:b w:val="false"/>
                <w:bCs w:val="false"/>
                <w:sz w:val="18"/>
                <w:szCs w:val="18"/>
              </w:rPr>
              <w:t xml:space="preserve">Ambos indicadores sí tienen umbral a nivel de protocolo completo (2+/12 dimensiones = invalidación parcial, 5+/12 = total), pero ninguno tiene una regla numérica de cuántos reactivos "en el extremo de acuerdo" (Aquiescencia) o cuántos pares espejo "inconsistentes" (Contradicción) constituyen un patrón detectado DENTRO de una dimensión — solo descripción cualitativa. Deseabilidad Social es el estándar de cómo debería verse esta regla (8 reactivos, umbral exacto de 6+) y sirve de referencia de lo que falta en los otros dos.</w:t>
            </w:r>
          </w:p>
        </w:tc>
      </w:tr>
      <w:tr>
        <w:tc>
          <w:tcPr>
            <w:tcW w:type="dxa" w:w="700"/>
          </w:tcPr>
          <w:p>
            <w:r>
              <w:rPr>
                <w:b w:val="false"/>
                <w:bCs w:val="false"/>
                <w:sz w:val="18"/>
                <w:szCs w:val="18"/>
              </w:rPr>
              <w:t xml:space="preserve">A2</w:t>
            </w:r>
          </w:p>
        </w:tc>
        <w:tc>
          <w:tcPr>
            <w:tcW w:type="dxa" w:w="3200"/>
          </w:tcPr>
          <w:p>
            <w:r>
              <w:rPr>
                <w:b w:val="false"/>
                <w:bCs w:val="false"/>
                <w:sz w:val="18"/>
                <w:szCs w:val="18"/>
              </w:rPr>
              <w:t xml:space="preserve">El único ejemplo numérico de Contradicción (Fase 7) aplica la regla al revés de como la define Fase 2</w:t>
            </w:r>
          </w:p>
        </w:tc>
        <w:tc>
          <w:tcPr>
            <w:tcW w:type="dxa" w:w="5900"/>
          </w:tcPr>
          <w:p>
            <w:r>
              <w:rPr>
                <w:b w:val="false"/>
                <w:bCs w:val="false"/>
                <w:sz w:val="18"/>
                <w:szCs w:val="18"/>
              </w:rPr>
              <w:t xml:space="preserve">Fase 2 define contradicción como respuestas en polos OPUESTOS de un par espejo. El ejemplo trabajado de Fase 7 declara contradicción con dos respuestas en el MISMO polo (ambas de alto riesgo) — un error real en la única ilustración numérica que existe del indicador.</w:t>
            </w:r>
          </w:p>
        </w:tc>
      </w:tr>
      <w:tr>
        <w:tc>
          <w:tcPr>
            <w:tcW w:type="dxa" w:w="700"/>
          </w:tcPr>
          <w:p>
            <w:r>
              <w:rPr>
                <w:b w:val="false"/>
                <w:bCs w:val="false"/>
                <w:sz w:val="18"/>
                <w:szCs w:val="18"/>
              </w:rPr>
              <w:t xml:space="preserve">A3</w:t>
            </w:r>
          </w:p>
        </w:tc>
        <w:tc>
          <w:tcPr>
            <w:tcW w:type="dxa" w:w="3200"/>
          </w:tcPr>
          <w:p>
            <w:r>
              <w:rPr>
                <w:b w:val="false"/>
                <w:bCs w:val="false"/>
                <w:sz w:val="18"/>
                <w:szCs w:val="18"/>
              </w:rPr>
              <w:t xml:space="preserve">Selección de variante de redacción (1 de 5): "al azar (o rotarlas)" nunca se resolvió</w:t>
            </w:r>
          </w:p>
        </w:tc>
        <w:tc>
          <w:tcPr>
            <w:tcW w:type="dxa" w:w="5900"/>
          </w:tcPr>
          <w:p>
            <w:r>
              <w:rPr>
                <w:b w:val="false"/>
                <w:bCs w:val="false"/>
                <w:sz w:val="18"/>
                <w:szCs w:val="18"/>
              </w:rPr>
              <w:t xml:space="preserve">DECISIONS.md punto 13 deja la decisión abierta con un "o" — tres hilos de auditoría distintos revisaron toda la documentación de producto (incluida la Especificación del Motor, que sí resolvió con detalle el sorteo de los slots duales) y ninguno encontró que esta ambigüedad se haya cerrado en ningún lugar.</w:t>
            </w:r>
          </w:p>
        </w:tc>
      </w:tr>
      <w:tr>
        <w:tc>
          <w:tcPr>
            <w:tcW w:type="dxa" w:w="700"/>
          </w:tcPr>
          <w:p>
            <w:r>
              <w:rPr>
                <w:b w:val="false"/>
                <w:bCs w:val="false"/>
                <w:sz w:val="18"/>
                <w:szCs w:val="18"/>
              </w:rPr>
              <w:t xml:space="preserve">A4</w:t>
            </w:r>
          </w:p>
        </w:tc>
        <w:tc>
          <w:tcPr>
            <w:tcW w:type="dxa" w:w="3200"/>
          </w:tcPr>
          <w:p>
            <w:r>
              <w:rPr>
                <w:b w:val="false"/>
                <w:bCs w:val="false"/>
                <w:sz w:val="18"/>
                <w:szCs w:val="18"/>
              </w:rPr>
              <w:t xml:space="preserve">Sin mecanismo de balanceo para variantes de redacción ni para slots duales</w:t>
            </w:r>
          </w:p>
        </w:tc>
        <w:tc>
          <w:tcPr>
            <w:tcW w:type="dxa" w:w="5900"/>
          </w:tcPr>
          <w:p>
            <w:r>
              <w:rPr>
                <w:b w:val="false"/>
                <w:bCs w:val="false"/>
                <w:sz w:val="18"/>
                <w:szCs w:val="18"/>
              </w:rPr>
              <w:t xml:space="preserve">Ni la variante (5 por reactivo) ni la versión clásica/alternativa de los slots duales tienen cuota, round-robin o memoria histórica — son sorteos independientes sin memoria. Con la meta piloto de 400-800 casos repartidos entre 1,050+ textos, algunas variantes podrían recibir muestras muy pequeñas, justo lo que el propio plan de equivalencia de variantes (Fase 9) necesita evitar.</w:t>
            </w:r>
          </w:p>
        </w:tc>
      </w:tr>
      <w:tr>
        <w:tc>
          <w:tcPr>
            <w:tcW w:type="dxa" w:w="700"/>
          </w:tcPr>
          <w:p>
            <w:r>
              <w:rPr>
                <w:b w:val="false"/>
                <w:bCs w:val="false"/>
                <w:sz w:val="18"/>
                <w:szCs w:val="18"/>
              </w:rPr>
              <w:t xml:space="preserve">A5</w:t>
            </w:r>
          </w:p>
        </w:tc>
        <w:tc>
          <w:tcPr>
            <w:tcW w:type="dxa" w:w="3200"/>
          </w:tcPr>
          <w:p>
            <w:r>
              <w:rPr>
                <w:b w:val="false"/>
                <w:bCs w:val="false"/>
                <w:sz w:val="18"/>
                <w:szCs w:val="18"/>
              </w:rPr>
              <w:t xml:space="preserve">Baremos por país: sin regla de qué pasa con reportes YA EMITIDOS cuando el baremo de un país se activa</w:t>
            </w:r>
          </w:p>
        </w:tc>
        <w:tc>
          <w:tcPr>
            <w:tcW w:type="dxa" w:w="5900"/>
          </w:tcPr>
          <w:p>
            <w:r>
              <w:rPr>
                <w:b w:val="false"/>
                <w:bCs w:val="false"/>
                <w:sz w:val="18"/>
                <w:szCs w:val="18"/>
              </w:rPr>
              <w:t xml:space="preserve">Está resuelto qué pasa si la MISMA persona repite el test después de que su país activa baremo propio ("debe explicarse el cambio"). Pero no hay regla para los reportes de OTRAS personas de ese país, ya entregados y calculados contra el Baremo General, en el momento en que el baremo del país se activa — choca de frente con la inmutabilidad de snapshots que el propio modelo de datos ya exige.</w:t>
            </w:r>
          </w:p>
        </w:tc>
      </w:tr>
      <w:tr>
        <w:tc>
          <w:tcPr>
            <w:tcW w:type="dxa" w:w="700"/>
          </w:tcPr>
          <w:p>
            <w:r>
              <w:rPr>
                <w:b w:val="false"/>
                <w:bCs w:val="false"/>
                <w:sz w:val="18"/>
                <w:szCs w:val="18"/>
              </w:rPr>
              <w:t xml:space="preserve">A6</w:t>
            </w:r>
          </w:p>
        </w:tc>
        <w:tc>
          <w:tcPr>
            <w:tcW w:type="dxa" w:w="3200"/>
          </w:tcPr>
          <w:p>
            <w:r>
              <w:rPr>
                <w:b w:val="false"/>
                <w:bCs w:val="false"/>
                <w:sz w:val="18"/>
                <w:szCs w:val="18"/>
              </w:rPr>
              <w:t xml:space="preserve">Trazabilidad/equating (variante + versión de slot dual vistas) — el campo de datos existe, pero AUSENTE como ítem de trabajo en el Backlog</w:t>
            </w:r>
          </w:p>
        </w:tc>
        <w:tc>
          <w:tcPr>
            <w:tcW w:type="dxa" w:w="5900"/>
          </w:tcPr>
          <w:p>
            <w:r>
              <w:rPr>
                <w:b w:val="false"/>
                <w:bCs w:val="false"/>
                <w:sz w:val="18"/>
                <w:szCs w:val="18"/>
              </w:rPr>
              <w:t xml:space="preserve">La Arquitectura de Datos sí tiene los campos necesarios (confirmado en el hilo C), pero ningún ítem del Backlog Maestro exige explícitamente guardarlos al registrar cada respuesta (ASM-007 solo dice "persistir antes de avanzar", sin especificar campos) — riesgo real de que se implemente sin ellos si el equipo sigue el backlog al pie de la letra.</w:t>
            </w:r>
          </w:p>
        </w:tc>
      </w:tr>
      <w:tr>
        <w:tc>
          <w:tcPr>
            <w:tcW w:type="dxa" w:w="700"/>
          </w:tcPr>
          <w:p>
            <w:r>
              <w:rPr>
                <w:b w:val="false"/>
                <w:bCs w:val="false"/>
                <w:sz w:val="18"/>
                <w:szCs w:val="18"/>
              </w:rPr>
              <w:t xml:space="preserve">A7</w:t>
            </w:r>
          </w:p>
        </w:tc>
        <w:tc>
          <w:tcPr>
            <w:tcW w:type="dxa" w:w="3200"/>
          </w:tcPr>
          <w:p>
            <w:r>
              <w:rPr>
                <w:b w:val="false"/>
                <w:bCs w:val="false"/>
                <w:sz w:val="18"/>
                <w:szCs w:val="18"/>
              </w:rPr>
              <w:t xml:space="preserve">SEM / Intervalo de Confianza 95% — AUSENTE del Backlog Maestro</w:t>
            </w:r>
          </w:p>
        </w:tc>
        <w:tc>
          <w:tcPr>
            <w:tcW w:type="dxa" w:w="5900"/>
          </w:tcPr>
          <w:p>
            <w:r>
              <w:rPr>
                <w:b w:val="false"/>
                <w:bCs w:val="false"/>
                <w:sz w:val="18"/>
                <w:szCs w:val="18"/>
              </w:rPr>
              <w:t xml:space="preserve">0 menciones en Backlog/RACI/Plan MVP, pese a que DECISIONS.md punto 32 exige reservar el espacio visual desde el lanzamiento para no rediseñar el reporte después.</w:t>
            </w:r>
          </w:p>
        </w:tc>
      </w:tr>
      <w:tr>
        <w:tc>
          <w:tcPr>
            <w:tcW w:type="dxa" w:w="700"/>
          </w:tcPr>
          <w:p>
            <w:r>
              <w:rPr>
                <w:b w:val="false"/>
                <w:bCs w:val="false"/>
                <w:sz w:val="18"/>
                <w:szCs w:val="18"/>
              </w:rPr>
              <w:t xml:space="preserve">A8</w:t>
            </w:r>
          </w:p>
        </w:tc>
        <w:tc>
          <w:tcPr>
            <w:tcW w:type="dxa" w:w="3200"/>
          </w:tcPr>
          <w:p>
            <w:r>
              <w:rPr>
                <w:b w:val="false"/>
                <w:bCs w:val="false"/>
                <w:sz w:val="18"/>
                <w:szCs w:val="18"/>
              </w:rPr>
              <w:t xml:space="preserve">Verificación por cámara/identidad — subsistema completo inventado solo en la capa de producto</w:t>
            </w:r>
          </w:p>
        </w:tc>
        <w:tc>
          <w:tcPr>
            <w:tcW w:type="dxa" w:w="5900"/>
          </w:tcPr>
          <w:p>
            <w:r>
              <w:rPr>
                <w:b w:val="false"/>
                <w:bCs w:val="false"/>
                <w:sz w:val="18"/>
                <w:szCs w:val="18"/>
              </w:rPr>
              <w:t xml:space="preserve">Aparece en varios de los 12 documentos (gate bloqueante en B2B, capturas periódicas, estados de verificación) sin que ninguna Fase 1-12 ni DECISIONS.md lo haya pedido — sin decisión de George, sin evaluación psicométrica ni legal, pese a que el propio PRD ya lo lista como "dependencia crítica" sin resolver.</w:t>
            </w:r>
          </w:p>
        </w:tc>
      </w:tr>
      <w:tr>
        <w:tc>
          <w:tcPr>
            <w:tcW w:type="dxa" w:w="700"/>
          </w:tcPr>
          <w:p>
            <w:r>
              <w:rPr>
                <w:b w:val="false"/>
                <w:bCs w:val="false"/>
                <w:sz w:val="18"/>
                <w:szCs w:val="18"/>
              </w:rPr>
              <w:t xml:space="preserve">A9</w:t>
            </w:r>
          </w:p>
        </w:tc>
        <w:tc>
          <w:tcPr>
            <w:tcW w:type="dxa" w:w="3200"/>
          </w:tcPr>
          <w:p>
            <w:r>
              <w:rPr>
                <w:b w:val="false"/>
                <w:bCs w:val="false"/>
                <w:sz w:val="18"/>
                <w:szCs w:val="18"/>
              </w:rPr>
              <w:t xml:space="preserve">Pantalla E06 mete "Impunidad" (dimensión Contextual) dentro de la lista de "Adicionales" que alimenta el IGI</w:t>
            </w:r>
          </w:p>
        </w:tc>
        <w:tc>
          <w:tcPr>
            <w:tcW w:type="dxa" w:w="5900"/>
          </w:tcPr>
          <w:p>
            <w:r>
              <w:rPr>
                <w:b w:val="false"/>
                <w:bCs w:val="false"/>
                <w:sz w:val="18"/>
                <w:szCs w:val="18"/>
              </w:rPr>
              <w:t xml:space="preserve">Impunidad es una de las 9 Factores Contextuales (nunca debe entrar al IGI). Al listarla junto a Deslealtad/Favoritismo en la misma pantalla de configuración, arriesga que un desarrollador la incluya por error dentro del cálculo del Núcleo.</w:t>
            </w:r>
          </w:p>
        </w:tc>
      </w:tr>
    </w:tbl>
    <w:p>
      <w:pPr>
        <w:pStyle w:val="Heading1"/>
        <w:spacing w:after="160" w:before="360"/>
      </w:pPr>
      <w:r>
        <w:t xml:space="preserve">Vacíos MEDIOS y MENORES (15) — riesgo bajo, pero vale la pena cerrarlos junto con el resto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c>
          <w:tcPr>
            <w:tcW w:type="dxa" w:w="3600"/>
            <w:shd w:fill="1F3864" w:val="clear"/>
          </w:tcPr>
          <w:p>
            <w:r>
              <w:rPr>
                <w:b/>
                <w:bCs/>
                <w:color w:val="FFFFFF"/>
                <w:sz w:val="18"/>
                <w:szCs w:val="18"/>
              </w:rPr>
              <w:t xml:space="preserve">Hallazgo</w:t>
            </w:r>
          </w:p>
        </w:tc>
        <w:tc>
          <w:tcPr>
            <w:tcW w:type="dxa" w:w="6200"/>
            <w:shd w:fill="1F3864" w:val="clear"/>
          </w:tcPr>
          <w:p>
            <w:r>
              <w:rPr>
                <w:b/>
                <w:bCs/>
                <w:color w:val="FFFFFF"/>
                <w:sz w:val="18"/>
                <w:szCs w:val="18"/>
              </w:rPr>
              <w:t xml:space="preserve">Detalle</w:t>
            </w:r>
          </w:p>
        </w:tc>
      </w:tr>
      <w:tr>
        <w:tc>
          <w:tcPr>
            <w:tcW w:type="dxa" w:w="3600"/>
          </w:tcPr>
          <w:p>
            <w:r>
              <w:rPr>
                <w:b w:val="false"/>
                <w:bCs w:val="false"/>
                <w:sz w:val="18"/>
                <w:szCs w:val="18"/>
              </w:rPr>
              <w:t xml:space="preserve">Regla de combinación de 2+ indicadores simultáneos</w:t>
            </w:r>
          </w:p>
        </w:tc>
        <w:tc>
          <w:tcPr>
            <w:tcW w:type="dxa" w:w="6200"/>
          </w:tcPr>
          <w:p>
            <w:r>
              <w:rPr>
                <w:b w:val="false"/>
                <w:bCs w:val="false"/>
                <w:sz w:val="18"/>
                <w:szCs w:val="18"/>
              </w:rPr>
              <w:t xml:space="preserve">Fase 2 Sección 5.5 no aclara si "2 o más superan su umbral" se refiere al umbral parcial o al total de cada uno — las dos lecturas dan comportamientos distintos.</w:t>
            </w:r>
          </w:p>
        </w:tc>
      </w:tr>
      <w:tr>
        <w:tc>
          <w:tcPr>
            <w:tcW w:type="dxa" w:w="3600"/>
          </w:tcPr>
          <w:p>
            <w:r>
              <w:rPr>
                <w:b w:val="false"/>
                <w:bCs w:val="false"/>
                <w:sz w:val="18"/>
                <w:szCs w:val="18"/>
              </w:rPr>
              <w:t xml:space="preserve">PRB: pre-tope o post-tope 0.95</w:t>
            </w:r>
          </w:p>
        </w:tc>
        <w:tc>
          <w:tcPr>
            <w:tcW w:type="dxa" w:w="6200"/>
          </w:tcPr>
          <w:p>
            <w:r>
              <w:rPr>
                <w:b w:val="false"/>
                <w:bCs w:val="false"/>
                <w:sz w:val="18"/>
                <w:szCs w:val="18"/>
              </w:rPr>
              <w:t xml:space="preserve">Fase 6 (la fuente) ya lo resuelve sin ambigüedad (PRB usa el valor pre-tope); la Especificación del Motor no lo sabía y lo dejó como pendiente — solo falta propagar la respuesta.</w:t>
            </w:r>
          </w:p>
        </w:tc>
      </w:tr>
      <w:tr>
        <w:tc>
          <w:tcPr>
            <w:tcW w:type="dxa" w:w="3600"/>
          </w:tcPr>
          <w:p>
            <w:r>
              <w:rPr>
                <w:b w:val="false"/>
                <w:bCs w:val="false"/>
                <w:sz w:val="18"/>
                <w:szCs w:val="18"/>
              </w:rPr>
              <w:t xml:space="preserve">Azarosidad: mismo umbral "fallar 2+" para baterías de 2, 4 o 6 controles</w:t>
            </w:r>
          </w:p>
        </w:tc>
        <w:tc>
          <w:tcPr>
            <w:tcW w:type="dxa" w:w="6200"/>
          </w:tcPr>
          <w:p>
            <w:r>
              <w:rPr>
                <w:b w:val="false"/>
                <w:bCs w:val="false"/>
                <w:sz w:val="18"/>
                <w:szCs w:val="18"/>
              </w:rPr>
              <w:t xml:space="preserve">Hace la detección mucho menos sensible en B2C (hay que fallar el 100% de 2 controles) que en B2B completa (33% de 6) — efecto no discutido como intencional.</w:t>
            </w:r>
          </w:p>
        </w:tc>
      </w:tr>
      <w:tr>
        <w:tc>
          <w:tcPr>
            <w:tcW w:type="dxa" w:w="3600"/>
          </w:tcPr>
          <w:p>
            <w:r>
              <w:rPr>
                <w:b w:val="false"/>
                <w:bCs w:val="false"/>
                <w:sz w:val="18"/>
                <w:szCs w:val="18"/>
              </w:rPr>
              <w:t xml:space="preserve">Ningún wireframe de candidato representa los controles de Azarosidad</w:t>
            </w:r>
          </w:p>
        </w:tc>
        <w:tc>
          <w:tcPr>
            <w:tcW w:type="dxa" w:w="6200"/>
          </w:tcPr>
          <w:p>
            <w:r>
              <w:rPr>
                <w:b w:val="false"/>
                <w:bCs w:val="false"/>
                <w:sz w:val="18"/>
                <w:szCs w:val="18"/>
              </w:rPr>
              <w:t xml:space="preserve">Cero menciones en las 20 pantallas del flujo del candidato.</w:t>
            </w:r>
          </w:p>
        </w:tc>
      </w:tr>
      <w:tr>
        <w:tc>
          <w:tcPr>
            <w:tcW w:type="dxa" w:w="3600"/>
          </w:tcPr>
          <w:p>
            <w:r>
              <w:rPr>
                <w:b w:val="false"/>
                <w:bCs w:val="false"/>
                <w:sz w:val="18"/>
                <w:szCs w:val="18"/>
              </w:rPr>
              <w:t xml:space="preserve">Ningún wireframe de candidato representa los 8 reactivos de Deseabilidad Social</w:t>
            </w:r>
          </w:p>
        </w:tc>
        <w:tc>
          <w:tcPr>
            <w:tcW w:type="dxa" w:w="6200"/>
          </w:tcPr>
          <w:p>
            <w:r>
              <w:rPr>
                <w:b w:val="false"/>
                <w:bCs w:val="false"/>
                <w:sz w:val="18"/>
                <w:szCs w:val="18"/>
              </w:rPr>
              <w:t xml:space="preserve">No queda definido si van mezclados con el resto o en un bloque aparte.</w:t>
            </w:r>
          </w:p>
        </w:tc>
      </w:tr>
      <w:tr>
        <w:tc>
          <w:tcPr>
            <w:tcW w:type="dxa" w:w="3600"/>
          </w:tcPr>
          <w:p>
            <w:r>
              <w:rPr>
                <w:b w:val="false"/>
                <w:bCs w:val="false"/>
                <w:sz w:val="18"/>
                <w:szCs w:val="18"/>
              </w:rPr>
              <w:t xml:space="preserve">Bio-data (BIO01-06) sin pantalla propia</w:t>
            </w:r>
          </w:p>
        </w:tc>
        <w:tc>
          <w:tcPr>
            <w:tcW w:type="dxa" w:w="6200"/>
          </w:tcPr>
          <w:p>
            <w:r>
              <w:rPr>
                <w:b w:val="false"/>
                <w:bCs w:val="false"/>
                <w:sz w:val="18"/>
                <w:szCs w:val="18"/>
              </w:rPr>
              <w:t xml:space="preserve">Solo se menciona de paso ("son opcionales") en la nota de otra pantalla, sin mockup del formulario.</w:t>
            </w:r>
          </w:p>
        </w:tc>
      </w:tr>
      <w:tr>
        <w:tc>
          <w:tcPr>
            <w:tcW w:type="dxa" w:w="3600"/>
          </w:tcPr>
          <w:p>
            <w:r>
              <w:rPr>
                <w:b w:val="false"/>
                <w:bCs w:val="false"/>
                <w:sz w:val="18"/>
                <w:szCs w:val="18"/>
              </w:rPr>
              <w:t xml:space="preserve">No hay pantalla en el dashboard para activar Factores Contextuales del proceso</w:t>
            </w:r>
          </w:p>
        </w:tc>
        <w:tc>
          <w:tcPr>
            <w:tcW w:type="dxa" w:w="6200"/>
          </w:tcPr>
          <w:p>
            <w:r>
              <w:rPr>
                <w:b w:val="false"/>
                <w:bCs w:val="false"/>
                <w:sz w:val="18"/>
                <w:szCs w:val="18"/>
              </w:rPr>
              <w:t xml:space="preserve">E04-E08 solo configuran Base + Adicionales; las Contextuales aparecen ya "evaluadas" más adelante sin que exista el paso donde RR.HH. las activa.</w:t>
            </w:r>
          </w:p>
        </w:tc>
      </w:tr>
      <w:tr>
        <w:tc>
          <w:tcPr>
            <w:tcW w:type="dxa" w:w="3600"/>
          </w:tcPr>
          <w:p>
            <w:r>
              <w:rPr>
                <w:b w:val="false"/>
                <w:bCs w:val="false"/>
                <w:sz w:val="18"/>
                <w:szCs w:val="18"/>
              </w:rPr>
              <w:t xml:space="preserve">Advertencia de uso responsable — ausente del Backlog como ítem explícito</w:t>
            </w:r>
          </w:p>
        </w:tc>
        <w:tc>
          <w:tcPr>
            <w:tcW w:type="dxa" w:w="6200"/>
          </w:tcPr>
          <w:p>
            <w:r>
              <w:rPr>
                <w:b w:val="false"/>
                <w:bCs w:val="false"/>
                <w:sz w:val="18"/>
                <w:szCs w:val="18"/>
              </w:rPr>
              <w:t xml:space="preserve">El disclaimer (punto 38 de DECISIONS.md) no tiene ningún ítem de trabajo dedicado.</w:t>
            </w:r>
          </w:p>
        </w:tc>
      </w:tr>
      <w:tr>
        <w:tc>
          <w:tcPr>
            <w:tcW w:type="dxa" w:w="3600"/>
          </w:tcPr>
          <w:p>
            <w:r>
              <w:rPr>
                <w:b w:val="false"/>
                <w:bCs w:val="false"/>
                <w:sz w:val="18"/>
                <w:szCs w:val="18"/>
              </w:rPr>
              <w:t xml:space="preserve">Seguridad de ítems en marketing/demos — ausente del Backlog</w:t>
            </w:r>
          </w:p>
        </w:tc>
        <w:tc>
          <w:tcPr>
            <w:tcW w:type="dxa" w:w="6200"/>
          </w:tcPr>
          <w:p>
            <w:r>
              <w:rPr>
                <w:b w:val="false"/>
                <w:bCs w:val="false"/>
                <w:sz w:val="18"/>
                <w:szCs w:val="18"/>
              </w:rPr>
              <w:t xml:space="preserve">Nada impide, en el backlog actual, exponer el banco real en material comercial (punto 37).</w:t>
            </w:r>
          </w:p>
        </w:tc>
      </w:tr>
      <w:tr>
        <w:tc>
          <w:tcPr>
            <w:tcW w:type="dxa" w:w="3600"/>
          </w:tcPr>
          <w:p>
            <w:r>
              <w:rPr>
                <w:b w:val="false"/>
                <w:bCs w:val="false"/>
                <w:sz w:val="18"/>
                <w:szCs w:val="18"/>
              </w:rPr>
              <w:t xml:space="preserve">Algoritmo de armado de secuencia (distancia mínima 8, 5 pasos) — ausente como ítem específico del Backlog</w:t>
            </w:r>
          </w:p>
        </w:tc>
        <w:tc>
          <w:tcPr>
            <w:tcW w:type="dxa" w:w="6200"/>
          </w:tcPr>
          <w:p>
            <w:r>
              <w:rPr>
                <w:b w:val="false"/>
                <w:bCs w:val="false"/>
                <w:sz w:val="18"/>
                <w:szCs w:val="18"/>
              </w:rPr>
              <w:t xml:space="preserve">Solo hay un ítem genérico de "randomizar / separar equivalentes".</w:t>
            </w:r>
          </w:p>
        </w:tc>
      </w:tr>
      <w:tr>
        <w:tc>
          <w:tcPr>
            <w:tcW w:type="dxa" w:w="3600"/>
          </w:tcPr>
          <w:p>
            <w:r>
              <w:rPr>
                <w:b w:val="false"/>
                <w:bCs w:val="false"/>
                <w:sz w:val="18"/>
                <w:szCs w:val="18"/>
              </w:rPr>
              <w:t xml:space="preserve">Semáforo de 3 colores — ausente del Backlog</w:t>
            </w:r>
          </w:p>
        </w:tc>
        <w:tc>
          <w:tcPr>
            <w:tcW w:type="dxa" w:w="6200"/>
          </w:tcPr>
          <w:p>
            <w:r>
              <w:rPr>
                <w:b w:val="false"/>
                <w:bCs w:val="false"/>
                <w:sz w:val="18"/>
                <w:szCs w:val="18"/>
              </w:rPr>
              <w:t xml:space="preserve">Los 6 niveles sí están como ítem; la capa de lectura rápida rojo/amarillo/verde no.</w:t>
            </w:r>
          </w:p>
        </w:tc>
      </w:tr>
      <w:tr>
        <w:tc>
          <w:tcPr>
            <w:tcW w:type="dxa" w:w="3600"/>
          </w:tcPr>
          <w:p>
            <w:r>
              <w:rPr>
                <w:b w:val="false"/>
                <w:bCs w:val="false"/>
                <w:sz w:val="18"/>
                <w:szCs w:val="18"/>
              </w:rPr>
              <w:t xml:space="preserve">11 arquetipos / 4 familias — débil en el Backlog; el Plan MVP dice "12" en un lugar (error de dedo)</w:t>
            </w:r>
          </w:p>
        </w:tc>
        <w:tc>
          <w:tcPr>
            <w:tcW w:type="dxa" w:w="6200"/>
          </w:tcPr>
          <w:p>
            <w:r>
              <w:rPr>
                <w:b w:val="false"/>
                <w:bCs w:val="false"/>
                <w:sz w:val="18"/>
                <w:szCs w:val="18"/>
              </w:rPr>
              <w:t xml:space="preserve">La épica de arquetipos existe pero sin citar el detalle ya definido en Fase 10 Sección 7.</w:t>
            </w:r>
          </w:p>
        </w:tc>
      </w:tr>
      <w:tr>
        <w:tc>
          <w:tcPr>
            <w:tcW w:type="dxa" w:w="3600"/>
          </w:tcPr>
          <w:p>
            <w:r>
              <w:rPr>
                <w:b w:val="false"/>
                <w:bCs w:val="false"/>
                <w:sz w:val="18"/>
                <w:szCs w:val="18"/>
              </w:rPr>
              <w:t xml:space="preserve">Gates de validación psicométrica (CVR/Omega/DIF) — bien en el Plan MVP, ausentes del Backlog Maestro</w:t>
            </w:r>
          </w:p>
        </w:tc>
        <w:tc>
          <w:tcPr>
            <w:tcW w:type="dxa" w:w="6200"/>
          </w:tcPr>
          <w:p>
            <w:r>
              <w:rPr>
                <w:b w:val="false"/>
                <w:bCs w:val="false"/>
                <w:sz w:val="18"/>
                <w:szCs w:val="18"/>
              </w:rPr>
              <w:t xml:space="preserve">Riesgo de perderse de vista si el equipo gestiona el día a día solo desde el Backlog, que es el documento operativo diario.</w:t>
            </w:r>
          </w:p>
        </w:tc>
      </w:tr>
      <w:tr>
        <w:tc>
          <w:tcPr>
            <w:tcW w:type="dxa" w:w="3600"/>
          </w:tcPr>
          <w:p>
            <w:r>
              <w:rPr>
                <w:b w:val="false"/>
                <w:bCs w:val="false"/>
                <w:sz w:val="18"/>
                <w:szCs w:val="18"/>
              </w:rPr>
              <w:t xml:space="preserve">Total de reactivos B2C: 70 en unos documentos, 50 en otros</w:t>
            </w:r>
          </w:p>
        </w:tc>
        <w:tc>
          <w:tcPr>
            <w:tcW w:type="dxa" w:w="6200"/>
          </w:tcPr>
          <w:p>
            <w:r>
              <w:rPr>
                <w:b w:val="false"/>
                <w:bCs w:val="false"/>
                <w:sz w:val="18"/>
                <w:szCs w:val="18"/>
              </w:rPr>
              <w:t xml:space="preserve">Documento Maestro Final y PRD dicen 70 (50 sustantivos + 20 controles transversales); Arquitectura de Datos y Blueprint dicen 50, omitiendo los 20 controles.</w:t>
            </w:r>
          </w:p>
        </w:tc>
      </w:tr>
      <w:tr>
        <w:tc>
          <w:tcPr>
            <w:tcW w:type="dxa" w:w="3600"/>
          </w:tcPr>
          <w:p>
            <w:r>
              <w:rPr>
                <w:b w:val="false"/>
                <w:bCs w:val="false"/>
                <w:sz w:val="18"/>
                <w:szCs w:val="18"/>
              </w:rPr>
              <w:t xml:space="preserve">"Índice ampliado" declarado inexistente en 2 documentos, pero sigue vivo como ítem futuro del Backlog</w:t>
            </w:r>
          </w:p>
        </w:tc>
        <w:tc>
          <w:tcPr>
            <w:tcW w:type="dxa" w:w="6200"/>
          </w:tcPr>
          <w:p>
            <w:r>
              <w:rPr>
                <w:b w:val="false"/>
                <w:bCs w:val="false"/>
                <w:sz w:val="18"/>
                <w:szCs w:val="18"/>
              </w:rPr>
              <w:t xml:space="preserve">Sin ninguna nota de que el concepto fue descartado en ese ítem específico (SCO-010).</w:t>
            </w:r>
          </w:p>
        </w:tc>
      </w:tr>
    </w:tbl>
    <w:p>
      <w:pPr>
        <w:pStyle w:val="Heading1"/>
        <w:spacing w:after="160" w:before="360"/>
      </w:pPr>
      <w:r>
        <w:t xml:space="preserve">Lo que SÍ está bien resuelto (confirmado, no solo asumido)</w:t>
      </w:r>
    </w:p>
    <w:p>
      <w:pPr>
        <w:spacing w:after="150"/>
      </w:pPr>
      <w:r>
        <w:t xml:space="preserve">Para que quede explícito qué no necesita revisión adicional:</w:t>
      </w:r>
    </w:p>
    <w:p>
      <w:pPr>
        <w:pStyle w:val="ListParagraph"/>
        <w:numPr>
          <w:ilvl w:val="0"/>
          <w:numId w:val="1"/>
        </w:numPr>
        <w:spacing w:after="100"/>
      </w:pPr>
      <w:r>
        <w:t xml:space="preserve">La cadena completa Puntaje_dimensión → PRB → Multiplicador de puesto → Riesgo_ajustado → IGI → SEM/IC95% es idéntica y consistente en todos los documentos que la mencionan (salvo el ejemplo puntual del Sprint 7 del Plan MVP, que usa la dirección de niveles invertida por error — hallazgo menor ya listado).</w:t>
      </w:r>
    </w:p>
    <w:p>
      <w:pPr>
        <w:pStyle w:val="ListParagraph"/>
        <w:numPr>
          <w:ilvl w:val="0"/>
          <w:numId w:val="1"/>
        </w:numPr>
        <w:spacing w:after="100"/>
      </w:pPr>
      <w:r>
        <w:t xml:space="preserve">La re-parametrización de pesos con menos de las 12 dimensiones Núcleo tiene una fórmula general (no solo los 2 ejemplos aislados de DECISIONS.md), correctamente propagada.</w:t>
      </w:r>
    </w:p>
    <w:p>
      <w:pPr>
        <w:pStyle w:val="ListParagraph"/>
        <w:numPr>
          <w:ilvl w:val="0"/>
          <w:numId w:val="1"/>
        </w:numPr>
        <w:spacing w:after="100"/>
      </w:pPr>
      <w:r>
        <w:t xml:space="preserve">Deseabilidad Social (5º indicador) es el estándar de indicador bien especificado de principio a fin, sin fisuras.</w:t>
      </w:r>
    </w:p>
    <w:p>
      <w:pPr>
        <w:pStyle w:val="ListParagraph"/>
        <w:numPr>
          <w:ilvl w:val="0"/>
          <w:numId w:val="1"/>
        </w:numPr>
        <w:spacing w:after="100"/>
      </w:pPr>
      <w:r>
        <w:t xml:space="preserve">El orden de resolución de los slots duales (antes del algoritmo de distancia mínima entre pares espejo) está declarado sin ambigüedad en Fase 10 y en la Especificación del Motor.</w:t>
      </w:r>
    </w:p>
    <w:p>
      <w:pPr>
        <w:pStyle w:val="ListParagraph"/>
        <w:numPr>
          <w:ilvl w:val="0"/>
          <w:numId w:val="1"/>
        </w:numPr>
        <w:spacing w:after="100"/>
      </w:pPr>
      <w:r>
        <w:t xml:space="preserve">El campo para registrar qué versión (clásica/alternativa) se administró por slot dual, y el identificador de variante de redacción vista, sí existen en la Arquitectura de Datos — suficiente para que la Fase 9 pueda comparar equivalencia cuando haya dato piloto.</w:t>
      </w:r>
    </w:p>
    <w:p>
      <w:pPr>
        <w:pStyle w:val="ListParagraph"/>
        <w:numPr>
          <w:ilvl w:val="0"/>
          <w:numId w:val="1"/>
        </w:numPr>
        <w:spacing w:after="100"/>
      </w:pPr>
      <w:r>
        <w:t xml:space="preserve">Un país que nunca llega a 300 casos sigue indefinidamente comparándose contra el Baremo General — bien resuelto y modelado.</w:t>
      </w:r>
    </w:p>
    <w:p>
      <w:pPr>
        <w:pStyle w:val="ListParagraph"/>
        <w:numPr>
          <w:ilvl w:val="0"/>
          <w:numId w:val="1"/>
        </w:numPr>
        <w:spacing w:after="100"/>
      </w:pPr>
      <w:r>
        <w:t xml:space="preserve">El texto exacto del bloque de instrucción inicial, la escala Likert de 5 niveles con ícono/color, el resultado B2C sin score crudo, y la pantalla de resultado IGI del dashboard (E14, con IC95% reservado, 6 niveles, semáforo, referencia al baremo y advertencia de uso responsable) están completos y correctos.</w:t>
      </w:r>
    </w:p>
    <w:p>
      <w:pPr>
        <w:pStyle w:val="ListParagraph"/>
        <w:numPr>
          <w:ilvl w:val="0"/>
          <w:numId w:val="1"/>
        </w:numPr>
        <w:spacing w:after="100"/>
      </w:pPr>
      <w:r>
        <w:t xml:space="preserve">Los conteos 210 + 63 + 8 + 6 + 6 reactivos, la terminología IGI/PRB, y la tabla de multiplicador de nivel de puesto son consistentes en prácticamente todo el corpus (con las excepciones puntuales ya listadas arriba).</w:t>
      </w:r>
    </w:p>
    <w:p>
      <w:pPr>
        <w:pStyle w:val="Heading1"/>
        <w:spacing w:after="160" w:before="360"/>
      </w:pPr>
      <w:r>
        <w:t xml:space="preserve">Recomendación de orden para cerrar esto</w:t>
      </w:r>
    </w:p>
    <w:p>
      <w:pPr>
        <w:spacing w:after="150"/>
      </w:pPr>
      <w:r>
        <w:t xml:space="preserve">1. Primero los 4 críticos (C1-C4): cada uno es una decisión de una sola pregunta o una corrección de 1-2 frases, pero cada uno, sin cerrar, produce un software que hace algo distinto a lo que George ya decidió.</w:t>
      </w:r>
    </w:p>
    <w:p>
      <w:pPr>
        <w:spacing w:after="150"/>
      </w:pPr>
      <w:r>
        <w:t xml:space="preserve">2. Luego los 9 altos, empezando por los que son decisiones de George (A5, A8, A9 necesitan su confirmación) y siguiendo con los que son solo trabajo de especificación (A1, A2, A3, A6, A7 se pueden cerrar sin preguntarle nada nuevo, usando reglas ya coherentes con el resto del diseño).</w:t>
      </w:r>
    </w:p>
    <w:p>
      <w:pPr>
        <w:spacing w:after="150"/>
      </w:pPr>
      <w:r>
        <w:t xml:space="preserve">3. Los 15 medios/menores se pueden cerrar en batch, la mayoría son ediciones mecánicas de propagación (agregar un ítem al Backlog, corregir una cifra, agregar una pantalla faltante a los wireframes).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2026-09-16T15:26:19.763Z</dcterms:created>
  <dcterms:modified xsi:type="dcterms:W3CDTF">2026-09-16T15:26:19.774Z</dcterms:modified>
</cp:coreProperties>
</file>

<file path=docProps/custom.xml><?xml version="1.0" encoding="utf-8"?>
<Properties xmlns="http://schemas.openxmlformats.org/officeDocument/2006/custom-properties" xmlns:vt="http://schemas.openxmlformats.org/officeDocument/2006/docPropsVTypes"/>
</file>