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Fase 10 — Diseño de Producto y Modelo de Negocio</w:t>
      </w:r>
    </w:p>
    <w:p>
      <w:pPr>
        <w:spacing w:after="60"/>
        <w:jc w:val="center"/>
      </w:pPr>
      <w:r>
        <w:rPr>
          <w:i/>
          <w:iCs/>
        </w:rPr>
        <w:t xml:space="preserve">[NOMBRE DEL INSTRUMENTO] — Nuevo instrumento de evaluación de integridad laboral</w:t>
      </w:r>
    </w:p>
    <w:p>
      <w:pPr>
        <w:spacing w:after="60"/>
        <w:jc w:val="center"/>
      </w:pPr>
      <w:r>
        <w:rPr>
          <w:i/>
          <w:iCs/>
        </w:rPr>
        <w:t xml:space="preserve">Versión 4 — 21 dimensiones / 210 reactivos</w:t>
      </w:r>
    </w:p>
    <w:p>
      <w:pPr>
        <w:spacing w:after="300"/>
        <w:jc w:val="center"/>
      </w:pPr>
      <w:r>
        <w:rPr>
          <w:sz w:val="20"/>
          <w:szCs w:val="20"/>
        </w:rPr>
        <w:t xml:space="preserve">Preparado para: George (jsuasnavas@gmail.com) · Fecha: 9 de septiembre de 2026</w:t>
      </w:r>
    </w:p>
    <w:p>
      <w:pPr>
        <w:spacing w:after="150"/>
      </w:pPr>
      <w:r>
        <w:t xml:space="preserve">Este documento describe el flujo de producto de las dos versiones del instrumento definidas en DECISIONS.md (punto 7): la versión individual gratuita y viral (B2C) y la versión empresarial de pago (B2B), dejando explícito que ambas comparten el mismo motor psicométrico de 21 dimensiones y 210 reactivos (Fases 1-6), y que lo único que cambia entre ellas es la capa de salida (narrativa de perfil vs. reporte de riesgo) y el modelo de monetización, conforme a DECISIONS.md (punto 10). Reemplaza íntegramente las versiones anteriores de la Fase 10.</w:t>
      </w:r>
    </w:p>
    <w:p>
      <w:pPr>
        <w:spacing w:after="15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 o de decisión comercial/legal de George.</w:t>
      </w:r>
    </w:p>
    <w:p>
      <w:pPr>
        <w:pStyle w:val="Heading1"/>
        <w:spacing w:after="200" w:before="400"/>
      </w:pPr>
      <w:r>
        <w:t xml:space="preserve">1. Un solo motor, dos capas de salida</w:t>
      </w:r>
    </w:p>
    <w:p>
      <w:pPr>
        <w:spacing w:after="150"/>
      </w:pPr>
      <w:r>
        <w:rPr>
          <w:b/>
          <w:bCs/>
        </w:rPr>
        <w:t xml:space="preserve">[HECHO] </w:t>
      </w:r>
      <w:r>
        <w:t xml:space="preserve">DECISIONS.md (punto 10) establece que ambas versiones usan el mismo motor de 21 dimensiones y banco de 210 reactivos; lo que cambia es la capa de salida (narrativa tipo perfil vs. reporte de riesgo para reclutador) y el modelo de monetización, no el instrumento de medición en sí.</w:t>
      </w:r>
    </w:p>
    <w:p>
      <w:pPr>
        <w:spacing w:after="150"/>
      </w:pPr>
      <w:r>
        <w:t xml:space="preserve">En la versión B2B, la batería aplicada a cada puesto sigue la 'Regla de configuración por puesto' de DECISIONS.md: siempre las 5 dimensiones Base, más las dimensiones Adicionales que correspondan al análisis de riesgo de ese puesto específico, más opcionalmente las Factores Contextuales relevantes. En la versión B2C viral, por defecto se aplica la batería de las 5 dimensiones Base (5 × 10 = 50 reactivos, DECISIONS.md punto 14), para mantener el test gratuito corto y viral; la batería completa (21 dimensiones / 210 reactivos) queda reservada para la versión B2B cuando el puesto lo requiera.</w:t>
      </w:r>
    </w:p>
    <w:p>
      <w:pPr>
        <w:spacing w:after="150"/>
      </w:pPr>
      <w:r>
        <w:t xml:space="preserve">En ambos casos, el sistema siempre calcula el mismo IGI (Índice General de Integridad, Fase 6) sobre las dimensiones Núcleo efectivamente incluidas en esa batería — desde la corrección de DECISIONS.md punto 19, ya no existe un índice separado 'IIC': el IGI es, en sí mismo, el único número reportado en ambas capas. Lo que difiere después del cálculo es exclusivamente la 'capa de presentación': qué se muestra, con qué nivel de detalle técnico, en qué tono, y detrás de qué muro de pago.</w:t>
      </w:r>
    </w:p>
    <w:p>
      <w:pPr>
        <w:pStyle w:val="Heading1"/>
        <w:spacing w:after="200" w:before="400"/>
      </w:pPr>
      <w:r>
        <w:t xml:space="preserve">2. Flujo de producto B2C (individual, gratuito y viral)</w:t>
      </w:r>
    </w:p>
    <w:p>
      <w:pPr>
        <w:pStyle w:val="Heading2"/>
        <w:spacing w:after="130" w:before="250"/>
      </w:pPr>
      <w:r>
        <w:t xml:space="preserve">2.1 Entrada</w:t>
      </w:r>
    </w:p>
    <w:p>
      <w:pPr>
        <w:pStyle w:val="ListParagraph"/>
        <w:numPr>
          <w:ilvl w:val="0"/>
          <w:numId w:val="1"/>
        </w:numPr>
        <w:spacing w:after="100"/>
      </w:pPr>
      <w:r>
        <w:t xml:space="preserve">Landing page de bajo compromiso, inspirada conceptualmente en el formato de test de personalidad viral (referencia: 16personalities.com), con encuadre de autoconocimiento ('Descubre tu perfil de integridad') en vez de encuadre de evaluación de riesgo.</w:t>
      </w:r>
    </w:p>
    <w:p>
      <w:pPr>
        <w:pStyle w:val="ListParagraph"/>
        <w:numPr>
          <w:ilvl w:val="0"/>
          <w:numId w:val="1"/>
        </w:numPr>
        <w:spacing w:after="100"/>
      </w:pPr>
      <w:r>
        <w:t xml:space="preserve">Sin registro obligatorio antes de empezar el test (fricción mínima); registro opcional solo para guardar el resultado o desbloquear el reporte premium (Sección 2.5).</w:t>
      </w:r>
    </w:p>
    <w:p>
      <w:pPr>
        <w:pStyle w:val="ListParagraph"/>
        <w:numPr>
          <w:ilvl w:val="0"/>
          <w:numId w:val="1"/>
        </w:numPr>
        <w:spacing w:after="100"/>
      </w:pPr>
      <w:r>
        <w:t xml:space="preserve">Variables demográficas de la Fase 8 (Sección 5.4: edad, género, educación, industria) presentadas como opcionales, con lenguaje que explica brevemente por qué se piden (mejorar el instrumento), nunca como requisito para ver el resultado. El país de aplicación es la única excepción: se captura automáticamente (código de país del número de WhatsApp, o selección obligatoria de un solo campo en el canal web) sin pedírselo como pregunta demográfica adicional ni bloquear el flujo — es un dato técnico, no una pregunta que la persona pueda omitir (Fase 8, Sección 2.4; DECISIONS.md punto 39).</w:t>
      </w:r>
    </w:p>
    <w:p>
      <w:pPr>
        <w:pStyle w:val="Heading2"/>
        <w:spacing w:after="130" w:before="250"/>
      </w:pPr>
      <w:r>
        <w:t xml:space="preserve">2.2 Toma del test</w:t>
      </w:r>
    </w:p>
    <w:p>
      <w:pPr>
        <w:spacing w:after="150"/>
      </w:pPr>
      <w:r>
        <w:rPr>
          <w:b/>
          <w:bCs/>
        </w:rPr>
        <w:t xml:space="preserve">[HIPÓTESIS] </w:t>
      </w:r>
      <w:r>
        <w:t xml:space="preserve"> Los 50 reactivos de la batería gratuita (5 dimensiones Base × 10) se presentan en un flujo de una pregunta a la vez (o pequeños bloques), con una barra de progreso, en un tiempo estimado de 12-18 minutos. El orden de presentación debe alternar dimensiones (no agrupar los 10 reactivos de una misma dimensión consecutivamente) para reducir el riesgo de que la persona identifique el patrón de un par espejo y ajuste sus respuestas de forma estratégica, protegiendo así la sensibilidad del indicador de validez de Contradicción (Fase 2, Sección 5.4). Una batería B2B completa (21 dimensiones / 210 reactivos) toma proporcionalmente más tiempo, estimado en 45-65 minutos.</w:t>
      </w:r>
    </w:p>
    <w:p>
      <w:pPr>
        <w:spacing w:after="150"/>
      </w:pPr>
      <w:r>
        <w:rPr>
          <w:b/>
          <w:bCs/>
        </w:rPr>
        <w:t xml:space="preserve">[HECHO] </w:t>
      </w:r>
      <w:r>
        <w:rPr>
          <w:b/>
          <w:bCs/>
        </w:rPr>
        <w:t xml:space="preserve">Regla de distancia mínima entre los 2 reactivos de un mismo par espejo (cierra un hueco que dejaba la sección anterior): </w:t>
      </w:r>
      <w:r>
        <w:t xml:space="preserve">no basta con alternar dimensiones; además, ningún par espejo puede tener sus dos reactivos a menos de 8 posiciones de distancia en la secuencia final de presentación de esa batería. El valor de 8 es un punto de partida razonado [HIPÓTESIS], a recalibrar con datos de la Fase 9; en la batería B2C de 50 reactivos equivale, en la práctica, a que los dos reactivos de un mismo par casi siempre queden en tercios distintos del test.</w:t>
      </w:r>
    </w:p>
    <w:p>
      <w:pPr>
        <w:spacing w:after="150"/>
      </w:pPr>
      <w:r>
        <w:rPr>
          <w:b/>
          <w:bCs/>
        </w:rPr>
        <w:t xml:space="preserve">[HECHO] </w:t>
      </w:r>
      <w:r>
        <w:t xml:space="preserve"> Antes de armar la secuencia (agregado 2026-09-15, Fase 2 Sección 9): para cada dimensión, el pool de reactivos candidatos ya no es fijo de 10, sino de 13 (los 7 reactivos sin alternativa + los slots duales op1, op2 y perc1, cada uno con su versión clásica y su alternativa de opciones concretas). El motor resuelve primero, al azar e independientemente por slot, cuál de las 2 versiones de cada uno de los 3 slots duales se administra en esa aplicación; el resultado de este sorteo son los 10 reactivos exactos de esa dimensión (7 fijos + 3 elegidos) que entran recién después al algoritmo de armado de secuencia de abajo, exactamente igual que si fueran 10 reactivos fijos.</w:t>
      </w:r>
    </w:p>
    <w:p>
      <w:pPr>
        <w:spacing w:after="150"/>
      </w:pPr>
      <w:r>
        <w:t xml:space="preserve">Algoritmo sugerido de armado de secuencia (insumo técnico directo para el motor de aplicación del test):</w:t>
      </w:r>
    </w:p>
    <w:p>
      <w:pPr>
        <w:pStyle w:val="ListParagraph"/>
        <w:numPr>
          <w:ilvl w:val="0"/>
          <w:numId w:val="1"/>
        </w:numPr>
        <w:spacing w:after="100"/>
      </w:pPr>
      <w:r>
        <w:t xml:space="preserve">1. Generar una secuencia base por round-robin entre las dimensiones de esa batería: una 'vuelta' entrega un reactivo de cada dimensión, en un orden de dimensión aleatorizado en cada vuelta (nunca el mismo orden dos vueltas seguidas). Esto ya garantiza, por construcción, que los 10 reactivos de una misma dimensión nunca queden consecutivos.</w:t>
      </w:r>
    </w:p>
    <w:p>
      <w:pPr>
        <w:pStyle w:val="ListParagraph"/>
        <w:numPr>
          <w:ilvl w:val="0"/>
          <w:numId w:val="1"/>
        </w:numPr>
        <w:spacing w:after="100"/>
      </w:pPr>
      <w:r>
        <w:t xml:space="preserve">2. Verificar la distancia de cada par espejo: recorrer los 5 × (número de dimensiones de la batería) pares espejo de esa batería y calcular, para cada uno, la distancia entre las posiciones finales de sus 2 reactivos en la secuencia generada en el paso 1.</w:t>
      </w:r>
    </w:p>
    <w:p>
      <w:pPr>
        <w:pStyle w:val="ListParagraph"/>
        <w:numPr>
          <w:ilvl w:val="0"/>
          <w:numId w:val="1"/>
        </w:numPr>
        <w:spacing w:after="100"/>
      </w:pPr>
      <w:r>
        <w:t xml:space="preserve">3. Reparación local: cualquier par que quede por debajo de la distancia mínima de 8 se corrige intercambiando la posición de uno de sus 2 reactivos con la de otro reactivo de una dimensión distinta ubicado más lejos en la secuencia, y se vuelve a verificar ese par. Se repite hasta que todos los pares de la batería cumplan la regla (es un problema de asignación con restricciones, no una fórmula cerrada de una sola pasada; así debe implementarse en el motor real).</w:t>
      </w:r>
    </w:p>
    <w:p>
      <w:pPr>
        <w:pStyle w:val="ListParagraph"/>
        <w:numPr>
          <w:ilvl w:val="0"/>
          <w:numId w:val="1"/>
        </w:numPr>
        <w:spacing w:after="100"/>
      </w:pPr>
      <w:r>
        <w:t xml:space="preserve">4. Los reactivos de control de Azarosidad (Fase 2, Sección 5.1bis) se insertan en la secuencia final a intervalos aproximadamente equidistantes, nunca en las primeras ni en las últimas 5 posiciones, sin desplazar el orden relativo ya validado de los reactivos sustantivos.</w:t>
      </w:r>
    </w:p>
    <w:p>
      <w:pPr>
        <w:pStyle w:val="ListParagraph"/>
        <w:numPr>
          <w:ilvl w:val="0"/>
          <w:numId w:val="1"/>
        </w:numPr>
        <w:spacing w:after="100"/>
      </w:pPr>
      <w:r>
        <w:t xml:space="preserve">5. La secuencia se genera una vez por aplicación (se re-sortea en cada intento de la misma persona, igual que la selección de variante de redacción de cada reactivo, DECISIONS.md punto 13), para que el orden tampoco sea idéntico entre dos personas ni entre dos intentos de la misma persona.</w:t>
      </w:r>
    </w:p>
    <w:p>
      <w:pPr>
        <w:pStyle w:val="Heading2"/>
        <w:spacing w:after="130" w:before="250"/>
      </w:pPr>
      <w:r>
        <w:t xml:space="preserve">2.3 Resultado gratuito: 'Perfil de Integridad'</w:t>
      </w:r>
    </w:p>
    <w:p>
      <w:pPr>
        <w:pStyle w:val="ListParagraph"/>
        <w:numPr>
          <w:ilvl w:val="0"/>
          <w:numId w:val="1"/>
        </w:numPr>
        <w:spacing w:after="100"/>
      </w:pPr>
      <w:r>
        <w:t xml:space="preserve">Encabezado con el IGI (Índice General de Integridad, ya orientado a integridad —más alto es mejor—, Fase 6 Sección 7) en lenguaje de fortaleza, no de riesgo: por ejemplo, 'Tu Índice General de Integridad: 76/95'.</w:t>
      </w:r>
    </w:p>
    <w:p>
      <w:pPr>
        <w:pStyle w:val="ListParagraph"/>
        <w:numPr>
          <w:ilvl w:val="0"/>
          <w:numId w:val="1"/>
        </w:numPr>
        <w:spacing w:after="100"/>
      </w:pPr>
      <w:r>
        <w:t xml:space="preserve">Un arquetipo o etiqueta de perfil, [HIPÓTESIS] construido combinando las 2-3 dimensiones Núcleo (Base o Adicional) con mejor puntaje de la persona; estas etiquetas deben diseñarse con cuidado editorial para que resulten favorecedoras y compartibles en la mayoría de los casos, evitando etiquetas que se perciban como negativas o estigmatizantes, dado el uso viral del producto.</w:t>
      </w:r>
    </w:p>
    <w:p>
      <w:pPr>
        <w:pStyle w:val="ListParagraph"/>
        <w:numPr>
          <w:ilvl w:val="0"/>
          <w:numId w:val="1"/>
        </w:numPr>
        <w:spacing w:after="100"/>
      </w:pPr>
      <w:r>
        <w:t xml:space="preserve">Un desglose breve y en tono constructivo de 3-4 dimensiones (sin usar los 21 nombres técnicos completos; ver Sección 2.5 sobre nomenclatura pública), mostrando fortalezas primero y como máximo 1-2 'áreas de oportunidad' formuladas de forma no punitiva.</w:t>
      </w:r>
    </w:p>
    <w:p>
      <w:pPr>
        <w:pStyle w:val="ListParagraph"/>
        <w:numPr>
          <w:ilvl w:val="0"/>
          <w:numId w:val="1"/>
        </w:numPr>
        <w:spacing w:after="100"/>
      </w:pPr>
      <w:r>
        <w:t xml:space="preserve">Nota de transparencia sobre invalidación parcial (cuando aplique, ver Fase 6 Sección 8 y el ejemplo de la Fase 7): mensaje breve y neutral, sin tecnicismos, invitando a revisar o repetir esa sección.</w:t>
      </w:r>
    </w:p>
    <w:p>
      <w:pPr>
        <w:pStyle w:val="Heading2"/>
        <w:spacing w:after="130" w:before="250"/>
      </w:pPr>
      <w:r>
        <w:t xml:space="preserve">2.4 Mecánica de viralidad</w:t>
      </w:r>
    </w:p>
    <w:p>
      <w:pPr>
        <w:pStyle w:val="ListParagraph"/>
        <w:numPr>
          <w:ilvl w:val="0"/>
          <w:numId w:val="1"/>
        </w:numPr>
        <w:spacing w:after="100"/>
      </w:pPr>
      <w:r>
        <w:t xml:space="preserve">Tarjeta de resultado diseñada para compartir en redes sociales (imagen con el arquetipo, el puntaje y el nombre del producto), en el mismo espíritu que los resultados compartibles de 16personalities.</w:t>
      </w:r>
    </w:p>
    <w:p>
      <w:pPr>
        <w:pStyle w:val="ListParagraph"/>
        <w:numPr>
          <w:ilvl w:val="0"/>
          <w:numId w:val="1"/>
        </w:numPr>
        <w:spacing w:after="100"/>
      </w:pPr>
      <w:r>
        <w:t xml:space="preserve">Invitación a comparar el resultado con amigos o contactos que también hayan tomado el test (mecánica de referido), y opcionalmente una versión de 'reto': invitar a alguien a tomar el test y comparar arquetipos.</w:t>
      </w:r>
    </w:p>
    <w:p>
      <w:pPr>
        <w:pStyle w:val="ListParagraph"/>
        <w:numPr>
          <w:ilvl w:val="0"/>
          <w:numId w:val="1"/>
        </w:numPr>
        <w:spacing w:after="100"/>
      </w:pPr>
      <w:r>
        <w:t xml:space="preserve">[HIPÓTESIS] Un ciclo de retención ligero: notificación opcional para repetir el test cada cierto tiempo (por ejemplo, cada 6-12 meses) y ver si el perfil cambió, aprovechando además esos datos repetidos como fuente longitudinal para la Fase 9.</w:t>
      </w:r>
    </w:p>
    <w:p>
      <w:pPr>
        <w:pStyle w:val="Heading2"/>
        <w:spacing w:after="130" w:before="250"/>
      </w:pPr>
      <w:r>
        <w:t xml:space="preserve">2.5 Gancho de upsell al reporte premium (freemium)</w:t>
      </w:r>
    </w:p>
    <w:p>
      <w:pPr>
        <w:pStyle w:val="ListParagraph"/>
        <w:numPr>
          <w:ilvl w:val="0"/>
          <w:numId w:val="1"/>
        </w:numPr>
        <w:spacing w:after="100"/>
      </w:pPr>
      <w:r>
        <w:t xml:space="preserve">Reporte premium de pago (autoconocimiento extendido): desglose completo de las 21 dimensiones (con nombres más accesibles al público general que los nombres técnicos usados en este proyecto, a definir en una fase de naming de producto), comparación normativa una vez existan datos piloto (Fase 8), seguimiento histórico si la persona repite el test, y contenido educativo asociado a sus dimensiones más bajas.</w:t>
      </w:r>
    </w:p>
    <w:p>
      <w:pPr>
        <w:pStyle w:val="ListParagraph"/>
        <w:numPr>
          <w:ilvl w:val="0"/>
          <w:numId w:val="1"/>
        </w:numPr>
        <w:spacing w:after="100"/>
      </w:pPr>
      <w:r>
        <w:t xml:space="preserve">[DESCONOCIDO] El precio exacto del reporte premium individual es una decisión comercial de George, no psicométrica; este documento no propone una cifra. Se sugiere únicamente el patrón freemium estándar (resultado básico siempre gratuito, upsell de profundidad y seguimiento), conforme a DECISIONS.md punto 9.</w:t>
      </w:r>
    </w:p>
    <w:p>
      <w:pPr>
        <w:pStyle w:val="Heading1"/>
        <w:spacing w:after="200" w:before="400"/>
      </w:pPr>
      <w:r>
        <w:t xml:space="preserve">3. Flujo de producto B2B (empresarial, de pago)</w:t>
      </w:r>
    </w:p>
    <w:p>
      <w:pPr>
        <w:pStyle w:val="Heading2"/>
        <w:spacing w:after="130" w:before="250"/>
      </w:pPr>
      <w:r>
        <w:t xml:space="preserve">3.1 Flujo de venta</w:t>
      </w:r>
    </w:p>
    <w:p>
      <w:pPr>
        <w:pStyle w:val="ListParagraph"/>
        <w:numPr>
          <w:ilvl w:val="0"/>
          <w:numId w:val="1"/>
        </w:numPr>
        <w:spacing w:after="100"/>
      </w:pPr>
      <w:r>
        <w:t xml:space="preserve">Canal 1 — de abajo hacia arriba (product-led): empleados o reclutadores que probaron la versión individual en su vida personal reconocen el producto y lo proponen dentro de su organización; el equipo comercial de George hace seguimiento a estas señales de interés (por ejemplo, mediante un formulario de contacto 'Llévalo a tu empresa' visible desde la capa B2C).</w:t>
      </w:r>
    </w:p>
    <w:p>
      <w:pPr>
        <w:pStyle w:val="ListParagraph"/>
        <w:numPr>
          <w:ilvl w:val="0"/>
          <w:numId w:val="1"/>
        </w:numPr>
        <w:spacing w:after="100"/>
      </w:pPr>
      <w:r>
        <w:t xml:space="preserve">Canal 2 — venta directa tradicional: prospección activa a equipos de Recursos Humanos y Seguridad Corporativa en sectores con alta necesidad de control de integridad (retail, banca, logística, manejo de efectivo o inventario), ofreciendo el instrumento como complemento a procesos de selección ya existentes, no como sustituto de una entrevista o de una verificación de antecedentes.</w:t>
      </w:r>
    </w:p>
    <w:p>
      <w:pPr>
        <w:pStyle w:val="ListParagraph"/>
        <w:numPr>
          <w:ilvl w:val="0"/>
          <w:numId w:val="1"/>
        </w:numPr>
        <w:spacing w:after="100"/>
      </w:pPr>
      <w:r>
        <w:t xml:space="preserve">[INFERENCIA] Dado que el instrumento aún no cuenta con validación empírica (Fase 9 pendiente de datos piloto), la fase comercial inicial debe posicionarse explícitamente como 'programa piloto' o 'early access' con condiciones preferenciales, alineado con el propio plan de recolección de datos de la Fase 8.</w:t>
      </w:r>
    </w:p>
    <w:p>
      <w:pPr>
        <w:pStyle w:val="ListParagraph"/>
        <w:numPr>
          <w:ilvl w:val="0"/>
          <w:numId w:val="1"/>
        </w:numPr>
        <w:spacing w:after="100"/>
      </w:pPr>
      <w:r>
        <w:t xml:space="preserve">[HECHO] El equipo comercial de George trabaja con el área de Recursos Humanos de la empresa cliente como contacto principal del proceso de venta, conforme al perfil de negocio ya conocido de George.</w:t>
      </w:r>
    </w:p>
    <w:p>
      <w:pPr>
        <w:pStyle w:val="Heading2"/>
        <w:spacing w:after="130" w:before="250"/>
      </w:pPr>
      <w:r>
        <w:t xml:space="preserve">3.2 Configuración de la batería y toma del test en contexto de selección</w:t>
      </w:r>
    </w:p>
    <w:p>
      <w:pPr>
        <w:pStyle w:val="ListParagraph"/>
        <w:numPr>
          <w:ilvl w:val="0"/>
          <w:numId w:val="1"/>
        </w:numPr>
        <w:spacing w:after="100"/>
      </w:pPr>
      <w:r>
        <w:t xml:space="preserve">Antes de cada proceso de selección, el equipo de Recursos Humanos de la empresa cliente (con apoyo del equipo de George) configura la batería del puesto siguiendo la 'Regla de configuración por puesto' de DECISIONS.md: las 5 dimensiones Base siempre incluidas, más las dimensiones Adicionales relevantes (análisis de 'probabilidad × impacto' por puesto), más opcionalmente Factores Contextuales.</w:t>
      </w:r>
    </w:p>
    <w:p>
      <w:pPr>
        <w:pStyle w:val="ListParagraph"/>
        <w:numPr>
          <w:ilvl w:val="0"/>
          <w:numId w:val="1"/>
        </w:numPr>
        <w:spacing w:after="100"/>
      </w:pPr>
      <w:r>
        <w:t xml:space="preserve">Consentimiento informado específico para el contexto de evaluación laboral (distinto, más formal, que el consentimiento de investigación de la Fase 8), que debe ser revisado por asesoría legal laboral y de protección de datos antes del lanzamiento comercial — [DESCONOCIDO], fuera del alcance psicométrico de este proyecto.</w:t>
      </w:r>
    </w:p>
    <w:p>
      <w:pPr>
        <w:pStyle w:val="ListParagraph"/>
        <w:numPr>
          <w:ilvl w:val="0"/>
          <w:numId w:val="1"/>
        </w:numPr>
        <w:spacing w:after="100"/>
      </w:pPr>
      <w:r>
        <w:t xml:space="preserve">[DESCONOCIDO] El cumplimiento de normativa local de cada mercado (por ejemplo, restricciones sobre pruebas psicológicas en procesos de selección) debe validarse país por país antes de vender el producto en ese mercado; este documento no sustituye esa revisión legal.</w:t>
      </w:r>
    </w:p>
    <w:p>
      <w:pPr>
        <w:pStyle w:val="Heading2"/>
        <w:spacing w:after="130" w:before="250"/>
      </w:pPr>
      <w:r>
        <w:t xml:space="preserve">3.3 Reporte de riesgo para el reclutador</w:t>
      </w:r>
    </w:p>
    <w:p>
      <w:pPr>
        <w:pStyle w:val="ListParagraph"/>
        <w:numPr>
          <w:ilvl w:val="0"/>
          <w:numId w:val="1"/>
        </w:numPr>
        <w:spacing w:after="100"/>
      </w:pPr>
      <w:r>
        <w:t xml:space="preserve">Formato de salida similar al ejemplo de la Fase 7 (Secciones 6-9): IGI en escala 0-95 con su intervalo de confianza del 95% ([PENDIENTE DE DATO PILOTO] hasta el primer análisis de confiabilidad, Fase 6 Sección 9) y categorización de riesgo (una vez existan puntos de corte validados según la Fase 9), desglose por las dimensiones Núcleo efectivamente incluidas en la batería del puesto y, de forma separada, las dimensiones Contextuales seleccionadas como factores de contexto/vulnerabilidad, dimensiones marcadas como no concluyentes por los 5 indicadores de validez (incluida la Escala de Deseabilidad Social, Fase 12 Sección 7), y comparación normativa indicando siempre contra qué baremo se calculó — el Baremo General o el baremo específico del país de aplicación, una vez ese país tenga volumen propio (Fase 8, Sección 2.4; DECISIONS.md punto 39) — además de la comparación por industria cuando exista (Fase 8, Sección 2.3).</w:t>
      </w:r>
    </w:p>
    <w:p>
      <w:pPr>
        <w:pStyle w:val="ListParagraph"/>
        <w:numPr>
          <w:ilvl w:val="0"/>
          <w:numId w:val="1"/>
        </w:numPr>
        <w:spacing w:after="100"/>
      </w:pPr>
      <w:r>
        <w:t xml:space="preserve">[HECHO] Advertencia de uso responsable (DECISIONS.md punto 38, Fase 12 Sección 10): el reporte debe incluir siempre una nota explícita de que el IGI NUNCA debe ser el único criterio de una decisión de contratación, promoción o desvinculación — es un apoyo más dentro de un proceso de decisión humana documentado (entrevistas, referencias, verificación de antecedentes, desempeño), nunca un filtro automático excluyente. La nota debe indicar además que dos candidatos cuyos intervalos de confianza se superponen no deben interpretarse como 'distintos' en integridad de forma concluyente, y que sus tasas de error (falsos positivos/negativos) aún no están cuantificadas hasta completar la Fase 9. Esta advertencia debe quedar explícita en cualquier material comercial o contractual de esta capa B2B, como salvaguarda tanto ética como de responsabilidad legal para George y para sus clientes empresariales.</w:t>
      </w:r>
    </w:p>
    <w:p>
      <w:pPr>
        <w:pStyle w:val="ListParagraph"/>
        <w:numPr>
          <w:ilvl w:val="0"/>
          <w:numId w:val="1"/>
        </w:numPr>
        <w:spacing w:after="100"/>
      </w:pPr>
      <w:r>
        <w:t xml:space="preserve">Panel o dashboard para equipos de Recursos Humanos con múltiples candidatos evaluados, filtros por vacante o proceso (incluyendo qué batería/configuración de dimensiones se usó en cada proceso), y exportación del reporte individual (por ejemplo, a PDF).</w:t>
      </w:r>
    </w:p>
    <w:p>
      <w:pPr>
        <w:pStyle w:val="Heading2"/>
        <w:spacing w:after="130" w:before="250"/>
      </w:pPr>
      <w:r>
        <w:t xml:space="preserve">3.4 Niveles de precio conceptuales</w:t>
      </w:r>
    </w:p>
    <w:p>
      <w:pPr>
        <w:spacing w:after="150"/>
      </w:pPr>
      <w:r>
        <w:rPr>
          <w:b/>
          <w:bCs/>
        </w:rPr>
        <w:t xml:space="preserve">[DESCONOCIDO] </w:t>
      </w:r>
      <w:r>
        <w:t xml:space="preserve"> Ningún valor monetario de esta sección es una cifra real de precio; son niveles conceptuales de servicio a definir comercialmente por George. Se presentan únicamente como estructura de paquetes, no como tarifario.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5500"/>
        <w:gridCol w:w="2500"/>
      </w:tblGrid>
      <w:tr>
        <w:tc>
          <w:tcPr>
            <w:tcW w:type="dxa" w:w="2400"/>
            <w:shd w:fill="D9D9D9" w:val="clear"/>
          </w:tcPr>
          <w:p>
            <w:r>
              <w:rPr>
                <w:b/>
                <w:bCs/>
              </w:rPr>
              <w:t xml:space="preserve">Nivel</w:t>
            </w:r>
          </w:p>
        </w:tc>
        <w:tc>
          <w:tcPr>
            <w:tcW w:type="dxa" w:w="5500"/>
            <w:shd w:fill="D9D9D9" w:val="clear"/>
          </w:tcPr>
          <w:p>
            <w:r>
              <w:rPr>
                <w:b/>
                <w:bCs/>
              </w:rPr>
              <w:t xml:space="preserve">Alcance conceptual</w:t>
            </w:r>
          </w:p>
        </w:tc>
        <w:tc>
          <w:tcPr>
            <w:tcW w:type="dxa" w:w="2500"/>
            <w:shd w:fill="D9D9D9" w:val="clear"/>
          </w:tcPr>
          <w:p>
            <w:r>
              <w:rPr>
                <w:b/>
                <w:bCs/>
              </w:rPr>
              <w:t xml:space="preserve">Comprador típico</w:t>
            </w:r>
          </w:p>
        </w:tc>
      </w:tr>
      <w:tr>
        <w:tc>
          <w:tcPr>
            <w:tcW w:type="dxa" w:w="2400"/>
          </w:tcPr>
          <w:p>
            <w:r>
              <w:rPr>
                <w:b w:val="false"/>
                <w:bCs w:val="false"/>
              </w:rPr>
              <w:t xml:space="preserve">Starter / por evaluación</w:t>
            </w:r>
          </w:p>
        </w:tc>
        <w:tc>
          <w:tcPr>
            <w:tcW w:type="dxa" w:w="5500"/>
          </w:tcPr>
          <w:p>
            <w:r>
              <w:rPr>
                <w:b w:val="false"/>
                <w:bCs w:val="false"/>
              </w:rPr>
              <w:t xml:space="preserve">Pago por cada aplicación individual del test en contexto de selección, con la batería Base + Adicionales del puesto, sin dashboard ni integración; ideal para validar el producto con bajo volumen.</w:t>
            </w:r>
          </w:p>
        </w:tc>
        <w:tc>
          <w:tcPr>
            <w:tcW w:type="dxa" w:w="2500"/>
          </w:tcPr>
          <w:p>
            <w:r>
              <w:rPr>
                <w:b w:val="false"/>
                <w:bCs w:val="false"/>
              </w:rPr>
              <w:t xml:space="preserve">PyME o equipo de RR.HH. pequeño, clientes del programa piloto (Fase 8).</w:t>
            </w:r>
          </w:p>
        </w:tc>
      </w:tr>
      <w:tr>
        <w:tc>
          <w:tcPr>
            <w:tcW w:type="dxa" w:w="2400"/>
          </w:tcPr>
          <w:p>
            <w:r>
              <w:rPr>
                <w:b w:val="false"/>
                <w:bCs w:val="false"/>
              </w:rPr>
              <w:t xml:space="preserve">Team / suscripción</w:t>
            </w:r>
          </w:p>
        </w:tc>
        <w:tc>
          <w:tcPr>
            <w:tcW w:type="dxa" w:w="5500"/>
          </w:tcPr>
          <w:p>
            <w:r>
              <w:rPr>
                <w:b w:val="false"/>
                <w:bCs w:val="false"/>
              </w:rPr>
              <w:t xml:space="preserve">Suscripción mensual o anual con un número incluido de evaluaciones, acceso al dashboard de la Sección 3.3, comparación normativa por industria cuando exista.</w:t>
            </w:r>
          </w:p>
        </w:tc>
        <w:tc>
          <w:tcPr>
            <w:tcW w:type="dxa" w:w="2500"/>
          </w:tcPr>
          <w:p>
            <w:r>
              <w:rPr>
                <w:b w:val="false"/>
                <w:bCs w:val="false"/>
              </w:rPr>
              <w:t xml:space="preserve">Empresas medianas con procesos de selección recurrentes.</w:t>
            </w:r>
          </w:p>
        </w:tc>
      </w:tr>
      <w:tr>
        <w:tc>
          <w:tcPr>
            <w:tcW w:type="dxa" w:w="2400"/>
          </w:tcPr>
          <w:p>
            <w:r>
              <w:rPr>
                <w:b w:val="false"/>
                <w:bCs w:val="false"/>
              </w:rPr>
              <w:t xml:space="preserve">Enterprise / a medida</w:t>
            </w:r>
          </w:p>
        </w:tc>
        <w:tc>
          <w:tcPr>
            <w:tcW w:type="dxa" w:w="5500"/>
          </w:tcPr>
          <w:p>
            <w:r>
              <w:rPr>
                <w:b w:val="false"/>
                <w:bCs w:val="false"/>
              </w:rPr>
              <w:t xml:space="preserve">Volumen alto, integración vía API con el sistema de reclutamiento (ATS) del cliente, configuración de baterías por puesto administrada por el cliente, soporte dedicado, acuerdos de nivel de servicio.</w:t>
            </w:r>
          </w:p>
        </w:tc>
        <w:tc>
          <w:tcPr>
            <w:tcW w:type="dxa" w:w="2500"/>
          </w:tcPr>
          <w:p>
            <w:r>
              <w:rPr>
                <w:b w:val="false"/>
                <w:bCs w:val="false"/>
              </w:rPr>
              <w:t xml:space="preserve">Grandes empresas o sectores con alta rotación/alto riesgo (retail, banca, logística).</w:t>
            </w:r>
          </w:p>
        </w:tc>
      </w:tr>
    </w:tbl>
    <w:p>
      <w:pPr>
        <w:spacing w:after="150"/>
      </w:pPr>
    </w:p>
    <w:p>
      <w:pPr>
        <w:spacing w:after="150"/>
      </w:pPr>
      <w:r>
        <w:rPr>
          <w:b/>
          <w:bCs/>
        </w:rPr>
        <w:t xml:space="preserve">[INFERENCIA] </w:t>
      </w:r>
      <w:r>
        <w:t xml:space="preserve"> Esta estructura de 3 niveles replica un patrón estándar de SaaS B2B, adaptado a que este instrumento inicia sin validación empírica todavía: se recomienda que el nivel Enterprise, en particular, no se ofrezca de forma agresiva hasta contar con resultados de la Fase 9.</w:t>
      </w:r>
    </w:p>
    <w:p>
      <w:pPr>
        <w:pStyle w:val="Heading1"/>
        <w:spacing w:after="200" w:before="400"/>
      </w:pPr>
      <w:r>
        <w:t xml:space="preserve">4. Resumen de diferencias entre capas (mismo motor, distinta salida)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3600"/>
      </w:tblGrid>
      <w:tr>
        <w:tc>
          <w:tcPr>
            <w:tcW w:type="dxa" w:w="2600"/>
            <w:shd w:fill="D9D9D9" w:val="clear"/>
          </w:tcPr>
          <w:p>
            <w:r>
              <w:rPr>
                <w:b/>
                <w:bCs/>
              </w:rPr>
              <w:t xml:space="preserve">Elemento</w:t>
            </w:r>
          </w:p>
        </w:tc>
        <w:tc>
          <w:tcPr>
            <w:tcW w:type="dxa" w:w="4200"/>
            <w:shd w:fill="D9D9D9" w:val="clear"/>
          </w:tcPr>
          <w:p>
            <w:r>
              <w:rPr>
                <w:b/>
                <w:bCs/>
              </w:rPr>
              <w:t xml:space="preserve">Capa B2C (individual)</w:t>
            </w:r>
          </w:p>
        </w:tc>
        <w:tc>
          <w:tcPr>
            <w:tcW w:type="dxa" w:w="3600"/>
            <w:shd w:fill="D9D9D9" w:val="clear"/>
          </w:tcPr>
          <w:p>
            <w:r>
              <w:rPr>
                <w:b/>
                <w:bCs/>
              </w:rPr>
              <w:t xml:space="preserve">Capa B2B (empresarial)</w:t>
            </w:r>
          </w:p>
        </w:tc>
      </w:tr>
      <w:tr>
        <w:tc>
          <w:tcPr>
            <w:tcW w:type="dxa" w:w="2600"/>
          </w:tcPr>
          <w:p>
            <w:r>
              <w:rPr>
                <w:b w:val="false"/>
                <w:bCs w:val="false"/>
              </w:rPr>
              <w:t xml:space="preserve">Motor psicométrico</w:t>
            </w:r>
          </w:p>
        </w:tc>
        <w:tc>
          <w:tcPr>
            <w:tcW w:type="dxa" w:w="4200"/>
          </w:tcPr>
          <w:p>
            <w:r>
              <w:rPr>
                <w:b w:val="false"/>
                <w:bCs w:val="false"/>
              </w:rPr>
              <w:t xml:space="preserve">Mismo: hasta 21 dimensiones, hasta 210 reactivos, IGI (Fases 1-6); por defecto solo las 5 Base (50 reactivos).</w:t>
            </w:r>
          </w:p>
        </w:tc>
        <w:tc>
          <w:tcPr>
            <w:tcW w:type="dxa" w:w="3600"/>
          </w:tcPr>
          <w:p>
            <w:r>
              <w:rPr>
                <w:b w:val="false"/>
                <w:bCs w:val="false"/>
              </w:rPr>
              <w:t xml:space="preserve">Mismo motor; batería configurada por puesto (Base + Adicionales seleccionadas + Contextuales opcionales).</w:t>
            </w:r>
          </w:p>
        </w:tc>
      </w:tr>
      <w:tr>
        <w:tc>
          <w:tcPr>
            <w:tcW w:type="dxa" w:w="2600"/>
          </w:tcPr>
          <w:p>
            <w:r>
              <w:rPr>
                <w:b w:val="false"/>
                <w:bCs w:val="false"/>
              </w:rPr>
              <w:t xml:space="preserve">Puntaje mostrado</w:t>
            </w:r>
          </w:p>
        </w:tc>
        <w:tc>
          <w:tcPr>
            <w:tcW w:type="dxa" w:w="4200"/>
          </w:tcPr>
          <w:p>
            <w:r>
              <w:rPr>
                <w:b w:val="false"/>
                <w:bCs w:val="false"/>
              </w:rPr>
              <w:t xml:space="preserve">IGI (Índice General de Integridad, más alto = mejor)</w:t>
            </w:r>
          </w:p>
        </w:tc>
        <w:tc>
          <w:tcPr>
            <w:tcW w:type="dxa" w:w="3600"/>
          </w:tcPr>
          <w:p>
            <w:r>
              <w:rPr>
                <w:b w:val="false"/>
                <w:bCs w:val="false"/>
              </w:rPr>
              <w:t xml:space="preserve">El mismo IGI, mismo número y misma fórmula (DECISIONS.md punto 19)</w:t>
            </w:r>
          </w:p>
        </w:tc>
      </w:tr>
      <w:tr>
        <w:tc>
          <w:tcPr>
            <w:tcW w:type="dxa" w:w="2600"/>
          </w:tcPr>
          <w:p>
            <w:r>
              <w:rPr>
                <w:b w:val="false"/>
                <w:bCs w:val="false"/>
              </w:rPr>
              <w:t xml:space="preserve">Tono</w:t>
            </w:r>
          </w:p>
        </w:tc>
        <w:tc>
          <w:tcPr>
            <w:tcW w:type="dxa" w:w="4200"/>
          </w:tcPr>
          <w:p>
            <w:r>
              <w:rPr>
                <w:b w:val="false"/>
                <w:bCs w:val="false"/>
              </w:rPr>
              <w:t xml:space="preserve">Autoconocimiento, compartible, no punitivo</w:t>
            </w:r>
          </w:p>
        </w:tc>
        <w:tc>
          <w:tcPr>
            <w:tcW w:type="dxa" w:w="3600"/>
          </w:tcPr>
          <w:p>
            <w:r>
              <w:rPr>
                <w:b w:val="false"/>
                <w:bCs w:val="false"/>
              </w:rPr>
              <w:t xml:space="preserve">Riesgo laboral, apoyo a decisión de selección/gestión</w:t>
            </w:r>
          </w:p>
        </w:tc>
      </w:tr>
      <w:tr>
        <w:tc>
          <w:tcPr>
            <w:tcW w:type="dxa" w:w="2600"/>
          </w:tcPr>
          <w:p>
            <w:r>
              <w:rPr>
                <w:b w:val="false"/>
                <w:bCs w:val="false"/>
              </w:rPr>
              <w:t xml:space="preserve">Nivel de detalle técnico</w:t>
            </w:r>
          </w:p>
        </w:tc>
        <w:tc>
          <w:tcPr>
            <w:tcW w:type="dxa" w:w="4200"/>
          </w:tcPr>
          <w:p>
            <w:r>
              <w:rPr>
                <w:b w:val="false"/>
                <w:bCs w:val="false"/>
              </w:rPr>
              <w:t xml:space="preserve">Simplificado, sin nombres técnicos completos de las 21 dimensiones</w:t>
            </w:r>
          </w:p>
        </w:tc>
        <w:tc>
          <w:tcPr>
            <w:tcW w:type="dxa" w:w="3600"/>
          </w:tcPr>
          <w:p>
            <w:r>
              <w:rPr>
                <w:b w:val="false"/>
                <w:bCs w:val="false"/>
              </w:rPr>
              <w:t xml:space="preserve">Completo: dimensiones incluidas en la batería, indicadores de validez, notas de invalidación</w:t>
            </w:r>
          </w:p>
        </w:tc>
      </w:tr>
      <w:tr>
        <w:tc>
          <w:tcPr>
            <w:tcW w:type="dxa" w:w="2600"/>
          </w:tcPr>
          <w:p>
            <w:r>
              <w:rPr>
                <w:b w:val="false"/>
                <w:bCs w:val="false"/>
              </w:rPr>
              <w:t xml:space="preserve">Monetización</w:t>
            </w:r>
          </w:p>
        </w:tc>
        <w:tc>
          <w:tcPr>
            <w:tcW w:type="dxa" w:w="4200"/>
          </w:tcPr>
          <w:p>
            <w:r>
              <w:rPr>
                <w:b w:val="false"/>
                <w:bCs w:val="false"/>
              </w:rPr>
              <w:t xml:space="preserve">Freemium: gratis + reporte premium de pago individual</w:t>
            </w:r>
          </w:p>
        </w:tc>
        <w:tc>
          <w:tcPr>
            <w:tcW w:type="dxa" w:w="3600"/>
          </w:tcPr>
          <w:p>
            <w:r>
              <w:rPr>
                <w:b w:val="false"/>
                <w:bCs w:val="false"/>
              </w:rPr>
              <w:t xml:space="preserve">Pago por niveles de servicio (Sección 3.4)</w:t>
            </w:r>
          </w:p>
        </w:tc>
      </w:tr>
    </w:tbl>
    <w:p>
      <w:pPr>
        <w:pStyle w:val="Heading1"/>
        <w:spacing w:after="200" w:before="400"/>
      </w:pPr>
      <w:r>
        <w:t xml:space="preserve">5. Relación con la Fase 11</w:t>
      </w:r>
    </w:p>
    <w:p>
      <w:pPr>
        <w:spacing w:after="150"/>
      </w:pPr>
      <w:r>
        <w:t xml:space="preserve">El resumen ejecutivo consolidado del proyecto (Fase 11) referencia el flujo de producto descrito aquí como parte del estado 'Completo' del componente de producto y modelo de negocio, con la salvedad explícita de que ningún precio, cifra comercial o aprobación legal de esta fase es definitiva.</w:t>
      </w:r>
    </w:p>
    <w:p>
      <w:pPr>
        <w:pStyle w:val="Heading1"/>
        <w:spacing w:after="200" w:before="400"/>
      </w:pPr>
      <w:r>
        <w:t xml:space="preserve">6. Textos interpretativos de resultado, por nivel (cierra un hueco de contenido — 2026-09-15)</w:t>
      </w:r>
    </w:p>
    <w:p>
      <w:pPr>
        <w:spacing w:after="150"/>
      </w:pPr>
      <w:r>
        <w:rPr>
          <w:b/>
          <w:bCs/>
        </w:rPr>
        <w:t xml:space="preserve">[HECHO] </w:t>
      </w:r>
      <w:r>
        <w:t xml:space="preserve"> Los 6 niveles de corte (Fase 6, Sección 10) y el semáforo de 3 colores tenían definido el marco numérico, pero ningún texto narrativo para mostrarle el resultado a una persona o a un reclutador. Se redactan aquí los 6 textos para el IGI general, en las 2 capas de tono ya definidas (Sección 1): autoconocimiento/favorecedor para B2C, riesgo laboral/profesional para B2B. Ambos textos parten del mismo nivel numérico (Fase 6, Sección 10) — lo único que cambia es el tono, nunca el número.</w:t>
      </w:r>
    </w:p>
    <w:p>
      <w:pPr>
        <w:pStyle w:val="Heading2"/>
        <w:spacing w:after="130" w:before="250"/>
      </w:pPr>
      <w:r>
        <w:t xml:space="preserve">6.1 Capa B2C — 'Perfil de Integridad' (tono de autoconocimiento)</w:t>
      </w:r>
    </w:p>
    <w:p>
      <w:pPr>
        <w:pStyle w:val="Heading3"/>
        <w:spacing w:after="100" w:before="200"/>
      </w:pPr>
      <w:r>
        <w:t xml:space="preserve">Nivel 6 — Integridad Muy Alta</w:t>
      </w:r>
    </w:p>
    <w:p>
      <w:pPr>
        <w:spacing w:after="150"/>
      </w:pPr>
      <w:r>
        <w:t xml:space="preserve">Tu perfil muestra un patrón de respuestas consistentemente alineado con la integridad en la mayoría de las situaciones exploradas. Esto sugiere una tendencia sólida a actuar con honestidad incluso cuando nadie estaría mirando. Como todo autorreporte, es una fotografía de tus respuestas de hoy, no una certificación absoluta — pero es un resultado del que puedes sentirte bien.</w:t>
      </w:r>
    </w:p>
    <w:p>
      <w:pPr>
        <w:pStyle w:val="Heading3"/>
        <w:spacing w:after="100" w:before="200"/>
      </w:pPr>
      <w:r>
        <w:t xml:space="preserve">Nivel 5 — Integridad Alta</w:t>
      </w:r>
    </w:p>
    <w:p>
      <w:pPr>
        <w:spacing w:after="150"/>
      </w:pPr>
      <w:r>
        <w:t xml:space="preserve">Tu perfil muestra una tendencia clara hacia la integridad en la mayoría de las situaciones exploradas, con algún margen razonable de variación según el contexto, como le pasa a la mayoría de las personas. Es un resultado sólido.</w:t>
      </w:r>
    </w:p>
    <w:p>
      <w:pPr>
        <w:pStyle w:val="Heading3"/>
        <w:spacing w:after="100" w:before="200"/>
      </w:pPr>
      <w:r>
        <w:t xml:space="preserve">Nivel 4 — Integridad Moderada-Alta</w:t>
      </w:r>
    </w:p>
    <w:p>
      <w:pPr>
        <w:spacing w:after="150"/>
      </w:pPr>
      <w:r>
        <w:t xml:space="preserve">Tu perfil muestra una tendencia generalmente favorable hacia la integridad, con algunas áreas donde tus respuestas reflejan más flexibilidad situacional que el promedio. Nadie responde de forma perfectamente consistente en todos los escenarios — vale la pena mirar con calma cuáles fueron esas áreas en tu desglose.</w:t>
      </w:r>
    </w:p>
    <w:p>
      <w:pPr>
        <w:pStyle w:val="Heading3"/>
        <w:spacing w:after="100" w:before="200"/>
      </w:pPr>
      <w:r>
        <w:t xml:space="preserve">Nivel 3 — Integridad Moderada-Baja</w:t>
      </w:r>
    </w:p>
    <w:p>
      <w:pPr>
        <w:spacing w:after="150"/>
      </w:pPr>
      <w:r>
        <w:t xml:space="preserve">Tu perfil combina fortalezas claras con algunas áreas donde tus respuestas se inclinaron más hacia la flexibilidad situacional que hacia la norma estricta. Esto no es un diagnóstico ni una etiqueta fija: es una fotografía de cómo respondiste hoy, y puede ser un buen punto de partida para la reflexión.</w:t>
      </w:r>
    </w:p>
    <w:p>
      <w:pPr>
        <w:pStyle w:val="Heading3"/>
        <w:spacing w:after="100" w:before="200"/>
      </w:pPr>
      <w:r>
        <w:t xml:space="preserve">Nivel 2 — Integridad Baja</w:t>
      </w:r>
    </w:p>
    <w:p>
      <w:pPr>
        <w:spacing w:after="150"/>
      </w:pPr>
      <w:r>
        <w:t xml:space="preserve">Tu perfil muestra varias áreas donde tus respuestas se alejaron de lo que la mayoría de las personas reporta como su tendencia habitual. Vale la pena tomar este resultado como una invitación a la reflexión, no como un juicio: es un autorreporte de un momento puntual, y puede cambiar.</w:t>
      </w:r>
    </w:p>
    <w:p>
      <w:pPr>
        <w:pStyle w:val="Heading3"/>
        <w:spacing w:after="100" w:before="200"/>
      </w:pPr>
      <w:r>
        <w:t xml:space="preserve">Nivel 1 — Integridad Muy Baja</w:t>
      </w:r>
    </w:p>
    <w:p>
      <w:pPr>
        <w:spacing w:after="150"/>
      </w:pPr>
      <w:r>
        <w:t xml:space="preserve">Tu perfil muestra un patrón de respuestas que se aleja de forma notable de la tendencia que reporta la mayoría de las personas en estos temas. Antes que nada: esto es un autorreporte, no una sentencia sobre quién eres. Te invitamos a leer el detalle con calma y, si te sirve, a conversarlo con alguien de confianza.</w:t>
      </w:r>
    </w:p>
    <w:p>
      <w:pPr>
        <w:pStyle w:val="Heading2"/>
        <w:spacing w:after="130" w:before="250"/>
      </w:pPr>
      <w:r>
        <w:t xml:space="preserve">6.2 Capa B2B — reporte para el reclutador (tono de riesgo laboral)</w:t>
      </w:r>
    </w:p>
    <w:p>
      <w:pPr>
        <w:pStyle w:val="Heading3"/>
        <w:spacing w:after="100" w:before="200"/>
      </w:pPr>
      <w:r>
        <w:t xml:space="preserve">Nivel 6 — Integridad Muy Alta</w:t>
      </w:r>
    </w:p>
    <w:p>
      <w:pPr>
        <w:spacing w:after="150"/>
      </w:pPr>
      <w:r>
        <w:t xml:space="preserve">Resultado compatible con una tendencia consistente hacia la integridad en el conjunto de dimensiones evaluadas. No exime de los demás pasos habituales del proceso de selección (entrevistas, referencias, verificación de antecedentes).</w:t>
      </w:r>
    </w:p>
    <w:p>
      <w:pPr>
        <w:pStyle w:val="Heading3"/>
        <w:spacing w:after="100" w:before="200"/>
      </w:pPr>
      <w:r>
        <w:t xml:space="preserve">Nivel 5 — Integridad Alta</w:t>
      </w:r>
    </w:p>
    <w:p>
      <w:pPr>
        <w:spacing w:after="150"/>
      </w:pPr>
      <w:r>
        <w:t xml:space="preserve">Resultado compatible con una tendencia favorable hacia la integridad, con variación normal entre dimensiones. Se recomienda interpretarlo junto con el resto de la evidencia del proceso de selección.</w:t>
      </w:r>
    </w:p>
    <w:p>
      <w:pPr>
        <w:pStyle w:val="Heading3"/>
        <w:spacing w:after="100" w:before="200"/>
      </w:pPr>
      <w:r>
        <w:t xml:space="preserve">Nivel 4 — Integridad Moderada-Alta</w:t>
      </w:r>
    </w:p>
    <w:p>
      <w:pPr>
        <w:spacing w:after="150"/>
      </w:pPr>
      <w:r>
        <w:t xml:space="preserve">Resultado moderado, con algunas dimensiones por debajo del resto del perfil. No debe interpretarse de forma aislada como señal de riesgo: revisar el desglose por dimensión y considerarlo junto con entrevistas y referencias.</w:t>
      </w:r>
    </w:p>
    <w:p>
      <w:pPr>
        <w:pStyle w:val="Heading3"/>
        <w:spacing w:after="100" w:before="200"/>
      </w:pPr>
      <w:r>
        <w:t xml:space="preserve">Nivel 3 — Integridad Moderada-Baja</w:t>
      </w:r>
    </w:p>
    <w:p>
      <w:pPr>
        <w:spacing w:after="150"/>
      </w:pPr>
      <w:r>
        <w:t xml:space="preserve">Resultado moderado-bajo, con varias dimensiones que ameritan atención adicional dentro del proceso de selección. Se recomienda profundizar en esas dimensiones específicas durante la entrevista, en vez de usar este resultado como filtro único.</w:t>
      </w:r>
    </w:p>
    <w:p>
      <w:pPr>
        <w:pStyle w:val="Heading3"/>
        <w:spacing w:after="100" w:before="200"/>
      </w:pPr>
      <w:r>
        <w:t xml:space="preserve">Nivel 2 — Integridad Baja</w:t>
      </w:r>
    </w:p>
    <w:p>
      <w:pPr>
        <w:spacing w:after="150"/>
      </w:pPr>
      <w:r>
        <w:t xml:space="preserve">Resultado bajo en el conjunto de dimensiones evaluadas. Conforme a la advertencia de uso responsable (Sección 3.3), este resultado no debe ser el único criterio de una decisión de contratación, promoción o desvinculación — se recomienda una segunda evaluación (entrevista estructurada, verificación de referencias) antes de tomar cualquier decisión.</w:t>
      </w:r>
    </w:p>
    <w:p>
      <w:pPr>
        <w:pStyle w:val="Heading3"/>
        <w:spacing w:after="100" w:before="200"/>
      </w:pPr>
      <w:r>
        <w:t xml:space="preserve">Nivel 1 — Integridad Muy Baja</w:t>
      </w:r>
    </w:p>
    <w:p>
      <w:pPr>
        <w:spacing w:after="150"/>
      </w:pPr>
      <w:r>
        <w:t xml:space="preserve">Resultado muy bajo en el conjunto de dimensiones evaluadas. Igual que en cualquier otro nivel, este resultado es un insumo más, nunca un filtro automático: se recomienda enfáticamente una segunda evaluación humana documentada antes de tomar cualquier decisión de selección o gestión de personal basada, aunque sea parcialmente, en este resultado.</w:t>
      </w:r>
    </w:p>
    <w:p>
      <w:pPr>
        <w:pStyle w:val="Heading2"/>
        <w:spacing w:after="130" w:before="250"/>
      </w:pPr>
      <w:r>
        <w:t xml:space="preserve">6.3 Extensión a resultados por dimensión individual</w:t>
      </w:r>
    </w:p>
    <w:p>
      <w:pPr>
        <w:spacing w:after="150"/>
      </w:pPr>
      <w:r>
        <w:rPr>
          <w:b/>
          <w:bCs/>
        </w:rPr>
        <w:t xml:space="preserve">[INFERENCIA] </w:t>
      </w:r>
      <w:r>
        <w:t xml:space="preserve"> Los mismos 6 niveles y la misma lógica de tono (favorecedor en B2C, profesional/no aislado en B2B) se reutilizan para el resultado de cada dimensión individual (Robo, Soborno, etc.), sustituyendo 'tu perfil'/'el conjunto de dimensiones evaluadas' por 'tu resultado en [nombre de la dimensión]'/'esta dimensión'. No se redactan aquí 21 × 6 × 2 = 252 textos adicionales por separado: se deja la plantilla de sustitución como el patrón de redacción a seguir, ya que el contenido sustantivo del mensaje (qué tan favorable es el nivel y qué tono usar) no depende del nombre de la dimensión, solo del nivel numérico y de la capa (B2C/B2B). Redactar la copia final, pulida y revisada editorialmente para cada una de las 21 dimensiones queda como tarea de una fase de producción de contenido/naming, no psicométrica.</w:t>
      </w:r>
    </w:p>
    <w:p>
      <w:pPr>
        <w:pStyle w:val="Heading1"/>
        <w:spacing w:after="200" w:before="400"/>
      </w:pPr>
      <w:r>
        <w:t xml:space="preserve">7. Arquetipos de perfil B2C — propuesta borrador (pendiente de confirmación de George)</w:t>
      </w:r>
    </w:p>
    <w:p>
      <w:pPr>
        <w:spacing w:after="150"/>
      </w:pPr>
      <w:r>
        <w:rPr>
          <w:b/>
          <w:bCs/>
        </w:rPr>
        <w:t xml:space="preserve">[DESCONOCIDO] </w:t>
      </w:r>
      <w:r>
        <w:t xml:space="preserve"> La Sección 2.3 ya definía el mecanismo (combinar las 2-3 dimensiones Núcleo con mejor puntaje de la persona) pero no existía ningún nombre, descripción ni tabla de activación — este contenido había quedado explícitamente reservado como decisión de George (Fase 11, Sección 6). Lo que sigue es una PROPUESTA BORRADOR completa y lista para usar, no una decisión ya tomada: George debe revisarla, editarla o reemplazarla antes de que se use en producción. Se incluye aquí, en vez de dejarse en blanco, porque sin al menos un borrador concreto no hay insumo suficiente para que el equipo de software construya la pantalla de resultado B2C.</w:t>
      </w:r>
    </w:p>
    <w:p>
      <w:pPr>
        <w:pStyle w:val="Heading2"/>
        <w:spacing w:after="130" w:before="250"/>
      </w:pPr>
      <w:r>
        <w:t xml:space="preserve">7.1 Los 12 dimensiones Núcleo agrupadas en 4 familias temáticas</w:t>
      </w:r>
    </w:p>
    <w:p>
      <w:pPr>
        <w:spacing w:after="150"/>
      </w:pPr>
      <w:r>
        <w:rPr>
          <w:b/>
          <w:bCs/>
        </w:rPr>
        <w:t xml:space="preserve">[HIPÓTESIS] </w:t>
      </w:r>
      <w:r>
        <w:t xml:space="preserve"> Combinar directamente 2-3 de 12 dimensiones da cientos de combinaciones posibles, demasiadas para nombrar una por una. Se agrupan primero las 12 dimensiones Núcleo en 4 familias temáticas de 3 dimensiones cada una (agrupación editorial, no estadística — no reemplaza al análisis factorial real de la Fase 9, que eventualmente puede sugerir una agrupación distinta basada en datos), y el arquetipo se construye combinando las familias con mejor puntaje de la persona, no las dimensiones sueltas.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c>
          <w:tcPr>
            <w:tcW w:type="dxa" w:w="3600"/>
            <w:shd w:fill="D9D9D9" w:val="clear"/>
          </w:tcPr>
          <w:p>
            <w:r>
              <w:rPr>
                <w:b/>
                <w:bCs/>
              </w:rPr>
              <w:t xml:space="preserve">Familia</w:t>
            </w:r>
          </w:p>
        </w:tc>
        <w:tc>
          <w:tcPr>
            <w:tcW w:type="dxa" w:w="6000"/>
            <w:shd w:fill="D9D9D9" w:val="clear"/>
          </w:tcPr>
          <w:p>
            <w:r>
              <w:rPr>
                <w:b/>
                <w:bCs/>
              </w:rPr>
              <w:t xml:space="preserve">Dimensiones que la componen</w:t>
            </w:r>
          </w:p>
        </w:tc>
      </w:tr>
      <w:tr>
        <w:tc>
          <w:tcPr>
            <w:tcW w:type="dxa" w:w="3600"/>
          </w:tcPr>
          <w:p>
            <w:r>
              <w:rPr>
                <w:b w:val="false"/>
                <w:bCs w:val="false"/>
              </w:rPr>
              <w:t xml:space="preserve">A — Custodia de Recursos</w:t>
            </w:r>
          </w:p>
        </w:tc>
        <w:tc>
          <w:tcPr>
            <w:tcW w:type="dxa" w:w="6000"/>
          </w:tcPr>
          <w:p>
            <w:r>
              <w:rPr>
                <w:b w:val="false"/>
                <w:bCs w:val="false"/>
              </w:rPr>
              <w:t xml:space="preserve">Robo, Fraude, Abuso de Recursos</w:t>
            </w:r>
          </w:p>
        </w:tc>
      </w:tr>
      <w:tr>
        <w:tc>
          <w:tcPr>
            <w:tcW w:type="dxa" w:w="3600"/>
          </w:tcPr>
          <w:p>
            <w:r>
              <w:rPr>
                <w:b w:val="false"/>
                <w:bCs w:val="false"/>
              </w:rPr>
              <w:t xml:space="preserve">B — Palabra y Lealtad</w:t>
            </w:r>
          </w:p>
        </w:tc>
        <w:tc>
          <w:tcPr>
            <w:tcW w:type="dxa" w:w="6000"/>
          </w:tcPr>
          <w:p>
            <w:r>
              <w:rPr>
                <w:b w:val="false"/>
                <w:bCs w:val="false"/>
              </w:rPr>
              <w:t xml:space="preserve">Mentira, Deslealtad, Favoritismo</w:t>
            </w:r>
          </w:p>
        </w:tc>
      </w:tr>
      <w:tr>
        <w:tc>
          <w:tcPr>
            <w:tcW w:type="dxa" w:w="3600"/>
          </w:tcPr>
          <w:p>
            <w:r>
              <w:rPr>
                <w:b w:val="false"/>
                <w:bCs w:val="false"/>
              </w:rPr>
              <w:t xml:space="preserve">C — Ética frente al Poder</w:t>
            </w:r>
          </w:p>
        </w:tc>
        <w:tc>
          <w:tcPr>
            <w:tcW w:type="dxa" w:w="6000"/>
          </w:tcPr>
          <w:p>
            <w:r>
              <w:rPr>
                <w:b w:val="false"/>
                <w:bCs w:val="false"/>
              </w:rPr>
              <w:t xml:space="preserve">Soborno, Asociación Criminal, Discriminación</w:t>
            </w:r>
          </w:p>
        </w:tc>
      </w:tr>
      <w:tr>
        <w:tc>
          <w:tcPr>
            <w:tcW w:type="dxa" w:w="3600"/>
          </w:tcPr>
          <w:p>
            <w:r>
              <w:rPr>
                <w:b w:val="false"/>
                <w:bCs w:val="false"/>
              </w:rPr>
              <w:t xml:space="preserve">D — Respeto y Responsabilidad</w:t>
            </w:r>
          </w:p>
        </w:tc>
        <w:tc>
          <w:tcPr>
            <w:tcW w:type="dxa" w:w="6000"/>
          </w:tcPr>
          <w:p>
            <w:r>
              <w:rPr>
                <w:b w:val="false"/>
                <w:bCs w:val="false"/>
              </w:rPr>
              <w:t xml:space="preserve">Irresponsabilidad, Acoso Sexual, Maltrato Laboral</w:t>
            </w:r>
          </w:p>
        </w:tc>
      </w:tr>
    </w:tbl>
    <w:p>
      <w:pPr>
        <w:spacing w:after="150"/>
      </w:pPr>
      <w:r>
        <w:t xml:space="preserve"/>
      </w:r>
    </w:p>
    <w:p>
      <w:pPr>
        <w:pStyle w:val="Heading2"/>
        <w:spacing w:after="130" w:before="250"/>
      </w:pPr>
      <w:r>
        <w:t xml:space="preserve">7.2 Regla de activación</w:t>
      </w:r>
    </w:p>
    <w:p>
      <w:pPr>
        <w:pStyle w:val="ListParagraph"/>
        <w:numPr>
          <w:ilvl w:val="0"/>
          <w:numId w:val="1"/>
        </w:numPr>
        <w:spacing w:after="100"/>
      </w:pPr>
      <w:r>
        <w:t xml:space="preserve">1. Para cada una de las 4 familias, calcular el promedio de los Puntaje_dimensión_reportado (escala 0-95, orientación de integridad) de sus 3 dimensiones.</w:t>
      </w:r>
    </w:p>
    <w:p>
      <w:pPr>
        <w:pStyle w:val="ListParagraph"/>
        <w:numPr>
          <w:ilvl w:val="0"/>
          <w:numId w:val="1"/>
        </w:numPr>
        <w:spacing w:after="100"/>
      </w:pPr>
      <w:r>
        <w:t xml:space="preserve">2. Ordenar las 4 familias de mayor a menor promedio.</w:t>
      </w:r>
    </w:p>
    <w:p>
      <w:pPr>
        <w:pStyle w:val="ListParagraph"/>
        <w:numPr>
          <w:ilvl w:val="0"/>
          <w:numId w:val="1"/>
        </w:numPr>
        <w:spacing w:after="100"/>
      </w:pPr>
      <w:r>
        <w:t xml:space="preserve">3. Si la familia mejor puntuada supera a la segunda por 8 puntos o más (en la escala 0-95) → arquetipo de familia dominante única (Sección 7.3).</w:t>
      </w:r>
    </w:p>
    <w:p>
      <w:pPr>
        <w:pStyle w:val="ListParagraph"/>
        <w:numPr>
          <w:ilvl w:val="0"/>
          <w:numId w:val="1"/>
        </w:numPr>
        <w:spacing w:after="100"/>
      </w:pPr>
      <w:r>
        <w:t xml:space="preserve">4. Si la diferencia entre la 1ª y la 2ª familia es menor a 8 puntos → arquetipo combinado de esas 2 familias (Sección 7.4).</w:t>
      </w:r>
    </w:p>
    <w:p>
      <w:pPr>
        <w:pStyle w:val="ListParagraph"/>
        <w:numPr>
          <w:ilvl w:val="0"/>
          <w:numId w:val="1"/>
        </w:numPr>
        <w:spacing w:after="100"/>
      </w:pPr>
      <w:r>
        <w:t xml:space="preserve">5. Si las 4 familias quedan dentro de un rango de 5 puntos entre sí Y el promedio general es Nivel 5 o 6 (Integridad Alta o Muy Alta, Fase 6 Sección 10) → arquetipo 'Equilibrado' (Sección 7.4), en vez de forzar una combinación de solo 2.</w:t>
      </w:r>
    </w:p>
    <w:p>
      <w:pPr>
        <w:spacing w:after="150"/>
      </w:pPr>
      <w:r>
        <w:rPr>
          <w:b/>
          <w:bCs/>
        </w:rPr>
        <w:t xml:space="preserve">[HIPÓTESIS] </w:t>
      </w:r>
      <w:r>
        <w:t xml:space="preserve"> Los umbrales de 8 y 5 puntos son valores de partida razonados, no calibrados con datos; deben revisarse una vez exista muestra piloto para verificar que producen una distribución razonable de arquetipos (ni uno solo dominando el 80% de los resultados, ni tantos casos 'Equilibrado' que el arquetipo pierda valor distintivo).</w:t>
      </w:r>
    </w:p>
    <w:p>
      <w:pPr>
        <w:pStyle w:val="Heading2"/>
        <w:spacing w:after="130" w:before="250"/>
      </w:pPr>
      <w:r>
        <w:t xml:space="preserve">7.3 Arquetipo de familia dominante única (4 opciones)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800"/>
      </w:tblGrid>
      <w:tr>
        <w:tc>
          <w:tcPr>
            <w:tcW w:type="dxa" w:w="2600"/>
            <w:shd w:fill="D9D9D9" w:val="clear"/>
          </w:tcPr>
          <w:p>
            <w:r>
              <w:rPr>
                <w:b/>
                <w:bCs/>
              </w:rPr>
              <w:t xml:space="preserve">Familia dominante</w:t>
            </w:r>
          </w:p>
        </w:tc>
        <w:tc>
          <w:tcPr>
            <w:tcW w:type="dxa" w:w="2200"/>
            <w:shd w:fill="D9D9D9" w:val="clear"/>
          </w:tcPr>
          <w:p>
            <w:r>
              <w:rPr>
                <w:b/>
                <w:bCs/>
              </w:rPr>
              <w:t xml:space="preserve">Nombre propuesto</w:t>
            </w:r>
          </w:p>
        </w:tc>
        <w:tc>
          <w:tcPr>
            <w:tcW w:type="dxa" w:w="4800"/>
            <w:shd w:fill="D9D9D9" w:val="clear"/>
          </w:tcPr>
          <w:p>
            <w:r>
              <w:rPr>
                <w:b/>
                <w:bCs/>
              </w:rPr>
              <w:t xml:space="preserve">Descripción breve (tono B2C, favorecedor)</w:t>
            </w:r>
          </w:p>
        </w:tc>
      </w:tr>
      <w:tr>
        <w:tc>
          <w:tcPr>
            <w:tcW w:type="dxa" w:w="2600"/>
          </w:tcPr>
          <w:p>
            <w:r>
              <w:rPr>
                <w:b w:val="false"/>
                <w:bCs w:val="false"/>
              </w:rPr>
              <w:t xml:space="preserve">A — Custodia de Recursos</w:t>
            </w:r>
          </w:p>
        </w:tc>
        <w:tc>
          <w:tcPr>
            <w:tcW w:type="dxa" w:w="2200"/>
          </w:tcPr>
          <w:p>
            <w:r>
              <w:rPr>
                <w:b w:val="false"/>
                <w:bCs w:val="false"/>
              </w:rPr>
              <w:t xml:space="preserve">El/La Custodio/a</w:t>
            </w:r>
          </w:p>
        </w:tc>
        <w:tc>
          <w:tcPr>
            <w:tcW w:type="dxa" w:w="4800"/>
          </w:tcPr>
          <w:p>
            <w:r>
              <w:rPr>
                <w:b w:val="false"/>
                <w:bCs w:val="false"/>
              </w:rPr>
              <w:t xml:space="preserve">Tu perfil destaca especialmente en el cuidado de lo que se te confía: recursos, dinero, información. Eres de las personas en las que se puede delegar sin mirar por encima del hombro.</w:t>
            </w:r>
          </w:p>
        </w:tc>
      </w:tr>
      <w:tr>
        <w:tc>
          <w:tcPr>
            <w:tcW w:type="dxa" w:w="2600"/>
          </w:tcPr>
          <w:p>
            <w:r>
              <w:rPr>
                <w:b w:val="false"/>
                <w:bCs w:val="false"/>
              </w:rPr>
              <w:t xml:space="preserve">B — Palabra y Lealtad</w:t>
            </w:r>
          </w:p>
        </w:tc>
        <w:tc>
          <w:tcPr>
            <w:tcW w:type="dxa" w:w="2200"/>
          </w:tcPr>
          <w:p>
            <w:r>
              <w:rPr>
                <w:b w:val="false"/>
                <w:bCs w:val="false"/>
              </w:rPr>
              <w:t xml:space="preserve">El/La Leal</w:t>
            </w:r>
          </w:p>
        </w:tc>
        <w:tc>
          <w:tcPr>
            <w:tcW w:type="dxa" w:w="4800"/>
          </w:tcPr>
          <w:p>
            <w:r>
              <w:rPr>
                <w:b w:val="false"/>
                <w:bCs w:val="false"/>
              </w:rPr>
              <w:t xml:space="preserve">Tu perfil destaca especialmente en mantener tu palabra y tu lealtad hacia las personas y compromisos que importan. Lo que dices, se sostiene.</w:t>
            </w:r>
          </w:p>
        </w:tc>
      </w:tr>
      <w:tr>
        <w:tc>
          <w:tcPr>
            <w:tcW w:type="dxa" w:w="2600"/>
          </w:tcPr>
          <w:p>
            <w:r>
              <w:rPr>
                <w:b w:val="false"/>
                <w:bCs w:val="false"/>
              </w:rPr>
              <w:t xml:space="preserve">C — Ética frente al Poder</w:t>
            </w:r>
          </w:p>
        </w:tc>
        <w:tc>
          <w:tcPr>
            <w:tcW w:type="dxa" w:w="2200"/>
          </w:tcPr>
          <w:p>
            <w:r>
              <w:rPr>
                <w:b w:val="false"/>
                <w:bCs w:val="false"/>
              </w:rPr>
              <w:t xml:space="preserve">El/La Recto/a de Principios</w:t>
            </w:r>
          </w:p>
        </w:tc>
        <w:tc>
          <w:tcPr>
            <w:tcW w:type="dxa" w:w="4800"/>
          </w:tcPr>
          <w:p>
            <w:r>
              <w:rPr>
                <w:b w:val="false"/>
                <w:bCs w:val="false"/>
              </w:rPr>
              <w:t xml:space="preserve">Tu perfil destaca especialmente en no dejarte arrastrar por atajos, presiones externas o tratos poco transparentes, incluso cuando estos vendrían con ventajas.</w:t>
            </w:r>
          </w:p>
        </w:tc>
      </w:tr>
      <w:tr>
        <w:tc>
          <w:tcPr>
            <w:tcW w:type="dxa" w:w="2600"/>
          </w:tcPr>
          <w:p>
            <w:r>
              <w:rPr>
                <w:b w:val="false"/>
                <w:bCs w:val="false"/>
              </w:rPr>
              <w:t xml:space="preserve">D — Respeto y Responsabilidad</w:t>
            </w:r>
          </w:p>
        </w:tc>
        <w:tc>
          <w:tcPr>
            <w:tcW w:type="dxa" w:w="2200"/>
          </w:tcPr>
          <w:p>
            <w:r>
              <w:rPr>
                <w:b w:val="false"/>
                <w:bCs w:val="false"/>
              </w:rPr>
              <w:t xml:space="preserve">El/La Cumplidor/a</w:t>
            </w:r>
          </w:p>
        </w:tc>
        <w:tc>
          <w:tcPr>
            <w:tcW w:type="dxa" w:w="4800"/>
          </w:tcPr>
          <w:p>
            <w:r>
              <w:rPr>
                <w:b w:val="false"/>
                <w:bCs w:val="false"/>
              </w:rPr>
              <w:t xml:space="preserve">Tu perfil destaca especialmente en el respeto hacia los demás y en responder por lo que te corresponde, de forma constante.</w:t>
            </w:r>
          </w:p>
        </w:tc>
      </w:tr>
    </w:tbl>
    <w:p>
      <w:pPr>
        <w:spacing w:after="150"/>
      </w:pPr>
      <w:r>
        <w:t xml:space="preserve"/>
      </w:r>
    </w:p>
    <w:p>
      <w:pPr>
        <w:pStyle w:val="Heading2"/>
        <w:spacing w:after="130" w:before="250"/>
      </w:pPr>
      <w:r>
        <w:t xml:space="preserve">7.4 Arquetipos combinados (6 combinaciones de 2 familias) + arquetipo Equilibrado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4000"/>
      </w:tblGrid>
      <w:tr>
        <w:tc>
          <w:tcPr>
            <w:tcW w:type="dxa" w:w="3200"/>
            <w:shd w:fill="D9D9D9" w:val="clear"/>
          </w:tcPr>
          <w:p>
            <w:r>
              <w:rPr>
                <w:b/>
                <w:bCs/>
              </w:rPr>
              <w:t xml:space="preserve">Combinación</w:t>
            </w:r>
          </w:p>
        </w:tc>
        <w:tc>
          <w:tcPr>
            <w:tcW w:type="dxa" w:w="2400"/>
            <w:shd w:fill="D9D9D9" w:val="clear"/>
          </w:tcPr>
          <w:p>
            <w:r>
              <w:rPr>
                <w:b/>
                <w:bCs/>
              </w:rPr>
              <w:t xml:space="preserve">Nombre propuesto</w:t>
            </w:r>
          </w:p>
        </w:tc>
        <w:tc>
          <w:tcPr>
            <w:tcW w:type="dxa" w:w="4000"/>
            <w:shd w:fill="D9D9D9" w:val="clear"/>
          </w:tcPr>
          <w:p>
            <w:r>
              <w:rPr>
                <w:b/>
                <w:bCs/>
              </w:rPr>
              <w:t xml:space="preserve">Descripción breve (tono B2C, favorecedor)</w:t>
            </w:r>
          </w:p>
        </w:tc>
      </w:tr>
      <w:tr>
        <w:tc>
          <w:tcPr>
            <w:tcW w:type="dxa" w:w="3200"/>
          </w:tcPr>
          <w:p>
            <w:r>
              <w:rPr>
                <w:b w:val="false"/>
                <w:bCs w:val="false"/>
              </w:rPr>
              <w:t xml:space="preserve">A + B</w:t>
            </w:r>
          </w:p>
        </w:tc>
        <w:tc>
          <w:tcPr>
            <w:tcW w:type="dxa" w:w="2400"/>
          </w:tcPr>
          <w:p>
            <w:r>
              <w:rPr>
                <w:b w:val="false"/>
                <w:bCs w:val="false"/>
              </w:rPr>
              <w:t xml:space="preserve">El/La Confiable</w:t>
            </w:r>
          </w:p>
        </w:tc>
        <w:tc>
          <w:tcPr>
            <w:tcW w:type="dxa" w:w="4000"/>
          </w:tcPr>
          <w:p>
            <w:r>
              <w:rPr>
                <w:b w:val="false"/>
                <w:bCs w:val="false"/>
              </w:rPr>
              <w:t xml:space="preserve">Combinas el cuidado de los recursos con la lealtad a tu palabra: la clase de persona en la que los demás confían tanto su dinero como sus secretos.</w:t>
            </w:r>
          </w:p>
        </w:tc>
      </w:tr>
      <w:tr>
        <w:tc>
          <w:tcPr>
            <w:tcW w:type="dxa" w:w="3200"/>
          </w:tcPr>
          <w:p>
            <w:r>
              <w:rPr>
                <w:b w:val="false"/>
                <w:bCs w:val="false"/>
              </w:rPr>
              <w:t xml:space="preserve">A + C</w:t>
            </w:r>
          </w:p>
        </w:tc>
        <w:tc>
          <w:tcPr>
            <w:tcW w:type="dxa" w:w="2400"/>
          </w:tcPr>
          <w:p>
            <w:r>
              <w:rPr>
                <w:b w:val="false"/>
                <w:bCs w:val="false"/>
              </w:rPr>
              <w:t xml:space="preserve">El/La Recto/a</w:t>
            </w:r>
          </w:p>
        </w:tc>
        <w:tc>
          <w:tcPr>
            <w:tcW w:type="dxa" w:w="4000"/>
          </w:tcPr>
          <w:p>
            <w:r>
              <w:rPr>
                <w:b w:val="false"/>
                <w:bCs w:val="false"/>
              </w:rPr>
              <w:t xml:space="preserve">Combinas el cuidado de los recursos con no dejarte arrastrar por atajos: cuidas lo que se te confía y cómo lo consigues.</w:t>
            </w:r>
          </w:p>
        </w:tc>
      </w:tr>
      <w:tr>
        <w:tc>
          <w:tcPr>
            <w:tcW w:type="dxa" w:w="3200"/>
          </w:tcPr>
          <w:p>
            <w:r>
              <w:rPr>
                <w:b w:val="false"/>
                <w:bCs w:val="false"/>
              </w:rPr>
              <w:t xml:space="preserve">A + D</w:t>
            </w:r>
          </w:p>
        </w:tc>
        <w:tc>
          <w:tcPr>
            <w:tcW w:type="dxa" w:w="2400"/>
          </w:tcPr>
          <w:p>
            <w:r>
              <w:rPr>
                <w:b w:val="false"/>
                <w:bCs w:val="false"/>
              </w:rPr>
              <w:t xml:space="preserve">El/La Sólido/a</w:t>
            </w:r>
          </w:p>
        </w:tc>
        <w:tc>
          <w:tcPr>
            <w:tcW w:type="dxa" w:w="4000"/>
          </w:tcPr>
          <w:p>
            <w:r>
              <w:rPr>
                <w:b w:val="false"/>
                <w:bCs w:val="false"/>
              </w:rPr>
              <w:t xml:space="preserve">Combinas el cuidado de los recursos con la responsabilidad hacia los demás: alguien en quien se puede apoyar tanto el trabajo como la confianza.</w:t>
            </w:r>
          </w:p>
        </w:tc>
      </w:tr>
      <w:tr>
        <w:tc>
          <w:tcPr>
            <w:tcW w:type="dxa" w:w="3200"/>
          </w:tcPr>
          <w:p>
            <w:r>
              <w:rPr>
                <w:b w:val="false"/>
                <w:bCs w:val="false"/>
              </w:rPr>
              <w:t xml:space="preserve">B + C</w:t>
            </w:r>
          </w:p>
        </w:tc>
        <w:tc>
          <w:tcPr>
            <w:tcW w:type="dxa" w:w="2400"/>
          </w:tcPr>
          <w:p>
            <w:r>
              <w:rPr>
                <w:b w:val="false"/>
                <w:bCs w:val="false"/>
              </w:rPr>
              <w:t xml:space="preserve">El/La Transparente</w:t>
            </w:r>
          </w:p>
        </w:tc>
        <w:tc>
          <w:tcPr>
            <w:tcW w:type="dxa" w:w="4000"/>
          </w:tcPr>
          <w:p>
            <w:r>
              <w:rPr>
                <w:b w:val="false"/>
                <w:bCs w:val="false"/>
              </w:rPr>
              <w:t xml:space="preserve">Combinas la lealtad a tu palabra con no dejarte llevar por tratos poco claros: con vos, las cosas se hacen como se dice que se van a hacer.</w:t>
            </w:r>
          </w:p>
        </w:tc>
      </w:tr>
      <w:tr>
        <w:tc>
          <w:tcPr>
            <w:tcW w:type="dxa" w:w="3200"/>
          </w:tcPr>
          <w:p>
            <w:r>
              <w:rPr>
                <w:b w:val="false"/>
                <w:bCs w:val="false"/>
              </w:rPr>
              <w:t xml:space="preserve">B + D</w:t>
            </w:r>
          </w:p>
        </w:tc>
        <w:tc>
          <w:tcPr>
            <w:tcW w:type="dxa" w:w="2400"/>
          </w:tcPr>
          <w:p>
            <w:r>
              <w:rPr>
                <w:b w:val="false"/>
                <w:bCs w:val="false"/>
              </w:rPr>
              <w:t xml:space="preserve">El/La Cercano/a Íntegro/a</w:t>
            </w:r>
          </w:p>
        </w:tc>
        <w:tc>
          <w:tcPr>
            <w:tcW w:type="dxa" w:w="4000"/>
          </w:tcPr>
          <w:p>
            <w:r>
              <w:rPr>
                <w:b w:val="false"/>
                <w:bCs w:val="false"/>
              </w:rPr>
              <w:t xml:space="preserve">Combinas la lealtad con el respeto hacia los demás: alguien con quien da gusto trabajar, por cómo trata a la gente y por cómo cumple su palabra.</w:t>
            </w:r>
          </w:p>
        </w:tc>
      </w:tr>
      <w:tr>
        <w:tc>
          <w:tcPr>
            <w:tcW w:type="dxa" w:w="3200"/>
          </w:tcPr>
          <w:p>
            <w:r>
              <w:rPr>
                <w:b w:val="false"/>
                <w:bCs w:val="false"/>
              </w:rPr>
              <w:t xml:space="preserve">C + D</w:t>
            </w:r>
          </w:p>
        </w:tc>
        <w:tc>
          <w:tcPr>
            <w:tcW w:type="dxa" w:w="2400"/>
          </w:tcPr>
          <w:p>
            <w:r>
              <w:rPr>
                <w:b w:val="false"/>
                <w:bCs w:val="false"/>
              </w:rPr>
              <w:t xml:space="preserve">El/La Ejemplar</w:t>
            </w:r>
          </w:p>
        </w:tc>
        <w:tc>
          <w:tcPr>
            <w:tcW w:type="dxa" w:w="4000"/>
          </w:tcPr>
          <w:p>
            <w:r>
              <w:rPr>
                <w:b w:val="false"/>
                <w:bCs w:val="false"/>
              </w:rPr>
              <w:t xml:space="preserve">Combinas los principios frente a la presión con el respeto y la responsabilidad diaria: de las personas que otros toman como referencia.</w:t>
            </w:r>
          </w:p>
        </w:tc>
      </w:tr>
      <w:tr>
        <w:tc>
          <w:tcPr>
            <w:tcW w:type="dxa" w:w="3200"/>
          </w:tcPr>
          <w:p>
            <w:r>
              <w:rPr>
                <w:b w:val="false"/>
                <w:bCs w:val="false"/>
              </w:rPr>
              <w:t xml:space="preserve">Equilibrado (las 4 familias parejas y altas)</w:t>
            </w:r>
          </w:p>
        </w:tc>
        <w:tc>
          <w:tcPr>
            <w:tcW w:type="dxa" w:w="2400"/>
          </w:tcPr>
          <w:p>
            <w:r>
              <w:rPr>
                <w:b w:val="false"/>
                <w:bCs w:val="false"/>
              </w:rPr>
              <w:t xml:space="preserve">El/La Equilibrado/a</w:t>
            </w:r>
          </w:p>
        </w:tc>
        <w:tc>
          <w:tcPr>
            <w:tcW w:type="dxa" w:w="4000"/>
          </w:tcPr>
          <w:p>
            <w:r>
              <w:rPr>
                <w:b w:val="false"/>
                <w:bCs w:val="false"/>
              </w:rPr>
              <w:t xml:space="preserve">Tu perfil no tiene un área que destaque sobre las demás porque todas están fuertes: integridad consistente en todos los frentes explorados, sin un punto claramente más alto que el resto.</w:t>
            </w:r>
          </w:p>
        </w:tc>
      </w:tr>
    </w:tbl>
    <w:p>
      <w:pPr>
        <w:spacing w:after="150"/>
      </w:pPr>
      <w:r>
        <w:t xml:space="preserve"/>
      </w:r>
    </w:p>
    <w:p>
      <w:pPr>
        <w:spacing w:after="150"/>
      </w:pPr>
      <w:r>
        <w:rPr>
          <w:b/>
          <w:bCs/>
        </w:rPr>
        <w:t xml:space="preserve">[DESCONOCIDO] </w:t>
      </w:r>
      <w:r>
        <w:t xml:space="preserve"> Pendiente de confirmación de George: (a) si los 11 nombres propuestos se aprueban, se editan o se reemplazan por completo; (b) si se quiere una ilustración/ícono por arquetipo para la tarjeta compartible (Sección 2.4), lo cual es una decisión de diseño gráfico fuera del alcance psicométrico; (c) los umbrales numéricos de activación (Sección 7.2) una vez exista dato piloto. Mientras George no confirme, el equipo de software puede construir la pantalla de resultado con esta propuesta como contenido de partida, sabiendo que los textos y nombres son reemplazables sin tocar el mecanismo de cálculo (Sección 7.2), que es lo que sí queda cerrado.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2026-09-15T21:57:28.314Z</dcterms:created>
  <dcterms:modified xsi:type="dcterms:W3CDTF">2026-09-15T21:57:28.314Z</dcterms:modified>
</cp:coreProperties>
</file>

<file path=docProps/custom.xml><?xml version="1.0" encoding="utf-8"?>
<Properties xmlns="http://schemas.openxmlformats.org/officeDocument/2006/custom-properties" xmlns:vt="http://schemas.openxmlformats.org/officeDocument/2006/docPropsVTypes"/>
</file>