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400"/>
        <w:jc w:val="center"/>
      </w:pPr>
      <w:r>
        <w:rPr>
          <w:b/>
          <w:bCs/>
          <w:sz w:val="40"/>
          <w:szCs w:val="40"/>
        </w:rPr>
        <w:t xml:space="preserve">Fase 2 — Marco de Reactivos y Escalas</w:t>
      </w:r>
    </w:p>
    <w:p>
      <w:pPr>
        <w:spacing w:after="60"/>
        <w:jc w:val="center"/>
      </w:pPr>
      <w:r>
        <w:rPr>
          <w:i/>
          <w:iCs/>
        </w:rPr>
        <w:t xml:space="preserve">[NOMBRE DEL INSTRUMENTO] — Nuevo instrumento de evaluación de integridad laboral</w:t>
      </w:r>
    </w:p>
    <w:p>
      <w:pPr>
        <w:spacing w:after="60"/>
        <w:jc w:val="center"/>
      </w:pPr>
      <w:r>
        <w:rPr>
          <w:i/>
          <w:iCs/>
        </w:rPr>
        <w:t xml:space="preserve">Versión 4 — 21 dimensiones / 210 reactivos</w:t>
      </w:r>
    </w:p>
    <w:p>
      <w:pPr>
        <w:spacing w:after="300"/>
        <w:jc w:val="center"/>
      </w:pPr>
      <w:r>
        <w:rPr>
          <w:sz w:val="20"/>
          <w:szCs w:val="20"/>
        </w:rPr>
        <w:t xml:space="preserve">Preparado para: George (jsuasnavas@gmail.com) · Fecha: 9 de septiembre de 2026</w:t>
      </w:r>
    </w:p>
    <w:p>
      <w:pPr>
        <w:spacing w:after="150"/>
      </w:pPr>
      <w:r>
        <w:t xml:space="preserve">Este documento define el marco de reactivos y escalas de la Versión 4 del instrumento: tipología de reactivos, formato de escala, reglas de direccionalidad, diseño de reactivos espejo/consistencia e indicadores de validez. Es insumo directo para el banco de reactivos (Fases 3 a 5) y para la matriz de scoring (Fase 6). Reemplaza íntegramente las versiones anteriores de esta fase: la estructura y los mecanismos de validez se mantienen, actualizados a la arquitectura Base/Adicional/Contextual de 21 dimensiones y 210 reactivos (10 por dimensión, 5 pares espejo por dimensión, DECISIONS.md punto 28) aprobada en DECISIONS.md. Ningún reactivo, ejemplo o regla de este documento reproduce o parafrasea contenido de AMITAI®, Midot o Kudert.</w:t>
      </w:r>
    </w:p>
    <w:p>
      <w:pPr>
        <w:spacing w:after="150"/>
      </w:pPr>
      <w:r>
        <w:rPr>
          <w:b/>
          <w:bCs/>
        </w:rPr>
        <w:t xml:space="preserve">Convención de evidencia: </w:t>
      </w:r>
      <w:r>
        <w:t xml:space="preserve">[HECHO] = decisión ya aprobada por George en DECISIONS.md · [INFERENCIA] = derivado lógicamente de una decisión aprobada · [HIPÓTESIS] = elección razonable del equipo de diseño, no validada aún empíricamente · [DESCONOCIDO] = pendiente de dato piloto.</w:t>
      </w:r>
    </w:p>
    <w:p>
      <w:pPr>
        <w:pStyle w:val="Heading1"/>
        <w:spacing w:after="200" w:before="400"/>
      </w:pPr>
      <w:r>
        <w:t xml:space="preserve">1. Tipología de reactivos</w:t>
      </w:r>
    </w:p>
    <w:p>
      <w:pPr>
        <w:spacing w:after="150"/>
      </w:pPr>
      <w:r>
        <w:rPr>
          <w:b/>
          <w:bCs/>
        </w:rPr>
        <w:t xml:space="preserve">[HECHO] </w:t>
      </w:r>
      <w:r>
        <w:t xml:space="preserve">DECISIONS.md establece que el instrumento usa escalas de opción variable en vez de un único formato Likert fijo, y que el banco cubre 210 reactivos (21 dimensiones × 10 reactivos c/u, DECISIONS.md punto 28). Este marco define 5 tipos estructurales de reactivo utilizados en el banco (de los 6 tipos definidos originalmente; el Tipo 5 'Comparación de gravedad' queda documentado como variante disponible pero no fue necesario para cubrir las 21 dimensiones con los tipos 1-4 y 6), que se combinan a lo largo de las 21 dimensiones según qué tipo capture mejor cada indicador conductual definido en la Fase 1.</w:t>
      </w:r>
    </w:p>
    <w:p>
      <w:pPr>
        <w:pStyle w:val="Heading3"/>
        <w:spacing w:after="100" w:before="200"/>
      </w:pPr>
      <w:r>
        <w:t xml:space="preserve">Tipo 1 — Opinión / Actitud</w:t>
      </w:r>
    </w:p>
    <w:p>
      <w:pPr>
        <w:spacing w:after="150"/>
      </w:pPr>
      <w:r>
        <w:rPr>
          <w:b/>
          <w:bCs/>
        </w:rPr>
        <w:t xml:space="preserve">Definición: </w:t>
      </w:r>
      <w:r>
        <w:t xml:space="preserve">Mide el grado de acuerdo o desacuerdo de la persona con una afirmación general sobre una creencia, norma o actitud relacionada con la dimensión, sin preguntar directamente por conducta propia.</w:t>
      </w:r>
    </w:p>
    <w:p>
      <w:pPr>
        <w:spacing w:after="150"/>
      </w:pPr>
      <w:r>
        <w:rPr>
          <w:b/>
          <w:bCs/>
        </w:rPr>
        <w:t xml:space="preserve">Qué detecta: </w:t>
      </w:r>
      <w:r>
        <w:t xml:space="preserve">Racionalizaciones, normas personales internalizadas y actitudes de aceptación o rechazo hacia la conducta deshonesta, independientemente de si la persona reporta haberla ejecutado.</w:t>
      </w:r>
    </w:p>
    <w:p>
      <w:pPr>
        <w:spacing w:after="150"/>
      </w:pPr>
      <w:r>
        <w:rPr>
          <w:b/>
          <w:bCs/>
        </w:rPr>
        <w:t xml:space="preserve">Plantilla estructural: </w:t>
      </w:r>
      <w:r>
        <w:t xml:space="preserve">¿Qué tan de acuerdo estás con la siguiente afirmación: '[afirmación sobre una norma o creencia relacionada con la dimensión]'?</w:t>
      </w:r>
    </w:p>
    <w:p>
      <w:pPr>
        <w:spacing w:after="150"/>
      </w:pPr>
      <w:r>
        <w:rPr>
          <w:b/>
          <w:bCs/>
        </w:rPr>
        <w:t xml:space="preserve">Formato de respuesta: </w:t>
      </w:r>
      <w:r>
        <w:t xml:space="preserve">Escala de acuerdo de 5 alternativas (Totalmente en desacuerdo → Totalmente de acuerdo), sin punto medio neutro para forzar posicionamiento.</w:t>
      </w:r>
    </w:p>
    <w:p>
      <w:pPr>
        <w:pStyle w:val="Heading3"/>
        <w:spacing w:after="100" w:before="200"/>
      </w:pPr>
      <w:r>
        <w:t xml:space="preserve">Tipo 2 — Percepción de terceros</w:t>
      </w:r>
    </w:p>
    <w:p>
      <w:pPr>
        <w:spacing w:after="150"/>
      </w:pPr>
      <w:r>
        <w:rPr>
          <w:b/>
          <w:bCs/>
        </w:rPr>
        <w:t xml:space="preserve">Definición: </w:t>
      </w:r>
      <w:r>
        <w:t xml:space="preserve">Pregunta por la percepción que la persona tiene sobre la frecuencia, gravedad o aceptabilidad de una conducta en su entorno (compañeros, industria, sociedad), en lugar de preguntar por su propia conducta.</w:t>
      </w:r>
    </w:p>
    <w:p>
      <w:pPr>
        <w:spacing w:after="150"/>
      </w:pPr>
      <w:r>
        <w:rPr>
          <w:b/>
          <w:bCs/>
        </w:rPr>
        <w:t xml:space="preserve">Qué detecta: </w:t>
      </w:r>
      <w:r>
        <w:t xml:space="preserve">Normas descriptivas percibidas, que la investigación en psicología social vincula con mayor probabilidad de conducta propia futura, y que además reduce la deseabilidad social al no exponer directamente a la persona.</w:t>
      </w:r>
    </w:p>
    <w:p>
      <w:pPr>
        <w:spacing w:after="150"/>
      </w:pPr>
      <w:r>
        <w:rPr>
          <w:b/>
          <w:bCs/>
        </w:rPr>
        <w:t xml:space="preserve">Plantilla estructural: </w:t>
      </w:r>
      <w:r>
        <w:t xml:space="preserve">En tu experiencia, ¿qué tan frecuente dirías que es [conducta relacionada con la dimensión] entre las personas de tu entorno laboral o industria?</w:t>
      </w:r>
    </w:p>
    <w:p>
      <w:pPr>
        <w:spacing w:after="150"/>
      </w:pPr>
      <w:r>
        <w:rPr>
          <w:b/>
          <w:bCs/>
        </w:rPr>
        <w:t xml:space="preserve">Formato de respuesta: </w:t>
      </w:r>
      <w:r>
        <w:t xml:space="preserve">Escala de frecuencia percibida de 4 alternativas (Nunca o muy raro → Muy frecuentemente).</w:t>
      </w:r>
    </w:p>
    <w:p>
      <w:pPr>
        <w:pStyle w:val="Heading3"/>
        <w:spacing w:after="100" w:before="200"/>
      </w:pPr>
      <w:r>
        <w:t xml:space="preserve">Tipo 3 — Involucramiento pasado / frecuencia conductual</w:t>
      </w:r>
    </w:p>
    <w:p>
      <w:pPr>
        <w:spacing w:after="150"/>
      </w:pPr>
      <w:r>
        <w:rPr>
          <w:b/>
          <w:bCs/>
        </w:rPr>
        <w:t xml:space="preserve">Definición: </w:t>
      </w:r>
      <w:r>
        <w:t xml:space="preserve">Pregunta directamente por la frecuencia con la que la propia persona ha incurrido en una conducta específica relacionada con la dimensión, en un marco temporal definido.</w:t>
      </w:r>
    </w:p>
    <w:p>
      <w:pPr>
        <w:spacing w:after="150"/>
      </w:pPr>
      <w:r>
        <w:rPr>
          <w:b/>
          <w:bCs/>
        </w:rPr>
        <w:t xml:space="preserve">Qué detecta: </w:t>
      </w:r>
      <w:r>
        <w:t xml:space="preserve">Historial conductual auto-reportado; el tipo de reactivo con mayor validez aparente de riesgo directo, y por lo mismo el más sensible a deseabilidad social, por lo que su peso se calibra junto con los indicadores de validez.</w:t>
      </w:r>
    </w:p>
    <w:p>
      <w:pPr>
        <w:spacing w:after="150"/>
      </w:pPr>
      <w:r>
        <w:rPr>
          <w:b/>
          <w:bCs/>
        </w:rPr>
        <w:t xml:space="preserve">Plantilla estructural: </w:t>
      </w:r>
      <w:r>
        <w:t xml:space="preserve">En los últimos [marco temporal, ej. 12 meses / tu historial laboral], ¿cuántas veces has [conducta específica y observable relacionada con el indicador conductual]?</w:t>
      </w:r>
    </w:p>
    <w:p>
      <w:pPr>
        <w:spacing w:after="150"/>
      </w:pPr>
      <w:r>
        <w:rPr>
          <w:b/>
          <w:bCs/>
        </w:rPr>
        <w:t xml:space="preserve">Formato de respuesta: </w:t>
      </w:r>
      <w:r>
        <w:t xml:space="preserve">Escala de frecuencia auto-reportada de 5 alternativas (Ninguna vez → Muchas veces o de forma habitual).</w:t>
      </w:r>
    </w:p>
    <w:p>
      <w:pPr>
        <w:pStyle w:val="Heading3"/>
        <w:spacing w:after="100" w:before="200"/>
      </w:pPr>
      <w:r>
        <w:t xml:space="preserve">Tipo 4 — Escenario / dilema situacional</w:t>
      </w:r>
    </w:p>
    <w:p>
      <w:pPr>
        <w:spacing w:after="150"/>
      </w:pPr>
      <w:r>
        <w:rPr>
          <w:b/>
          <w:bCs/>
        </w:rPr>
        <w:t xml:space="preserve">Definición: </w:t>
      </w:r>
      <w:r>
        <w:t xml:space="preserve">Presenta una situación hipotética concreta y pide a la persona que puntúe qué tan probable es que actuara de una forma determinada dentro del escenario.</w:t>
      </w:r>
    </w:p>
    <w:p>
      <w:pPr>
        <w:spacing w:after="150"/>
      </w:pPr>
      <w:r>
        <w:rPr>
          <w:b/>
          <w:bCs/>
        </w:rPr>
        <w:t xml:space="preserve">Qué detecta: </w:t>
      </w:r>
      <w:r>
        <w:t xml:space="preserve">Juicio aplicado en contexto, menos vulnerable a la deseabilidad social que preguntar directamente '¿has hecho X?', porque la persona razona sobre una situación concreta en vez de autoincriminarse explícitamente.</w:t>
      </w:r>
    </w:p>
    <w:p>
      <w:pPr>
        <w:spacing w:after="150"/>
      </w:pPr>
      <w:r>
        <w:rPr>
          <w:b/>
          <w:bCs/>
        </w:rPr>
        <w:t xml:space="preserve">Plantilla estructural: </w:t>
      </w:r>
      <w:r>
        <w:t xml:space="preserve">Imagina la siguiente situación: [descripción breve de un dilema concreto y verosímil relacionado con la dimensión]. ¿Qué tan probable es que tú actuaras de la forma [conducta de riesgo] en esa situación?</w:t>
      </w:r>
    </w:p>
    <w:p>
      <w:pPr>
        <w:spacing w:after="150"/>
      </w:pPr>
      <w:r>
        <w:rPr>
          <w:b/>
          <w:bCs/>
        </w:rPr>
        <w:t xml:space="preserve">Formato de respuesta: </w:t>
      </w:r>
      <w:r>
        <w:t xml:space="preserve">Escala de probabilidad de acción propia de 4 alternativas (Nada probable → Muy probable).</w:t>
      </w:r>
    </w:p>
    <w:p>
      <w:pPr>
        <w:pStyle w:val="Heading3"/>
        <w:spacing w:after="100" w:before="200"/>
      </w:pPr>
      <w:r>
        <w:t xml:space="preserve">Tipo 6 — Intención futura</w:t>
      </w:r>
    </w:p>
    <w:p>
      <w:pPr>
        <w:spacing w:after="150"/>
      </w:pPr>
      <w:r>
        <w:rPr>
          <w:b/>
          <w:bCs/>
        </w:rPr>
        <w:t xml:space="preserve">Definición: </w:t>
      </w:r>
      <w:r>
        <w:t xml:space="preserve">Pregunta por la disposición o intención declarada de la persona a actuar de una manera determinada (normalmente la conducta íntegra) en el futuro, ante una oportunidad o presión específica relacionada con la dimensión.</w:t>
      </w:r>
    </w:p>
    <w:p>
      <w:pPr>
        <w:spacing w:after="150"/>
      </w:pPr>
      <w:r>
        <w:rPr>
          <w:b/>
          <w:bCs/>
        </w:rPr>
        <w:t xml:space="preserve">Qué detecta: </w:t>
      </w:r>
      <w:r>
        <w:t xml:space="preserve">Intención conductual prospectiva, consistente con el marco de la Teoría de la Acción Razonada/Conducta Planificada; en el banco v2 se usa preferentemente en formato inverso (ver Sección 3) para servir como el reactivo inverso obligatorio de cada dimensión Núcleo.</w:t>
      </w:r>
    </w:p>
    <w:p>
      <w:pPr>
        <w:spacing w:after="150"/>
      </w:pPr>
      <w:r>
        <w:rPr>
          <w:b/>
          <w:bCs/>
        </w:rPr>
        <w:t xml:space="preserve">Plantilla estructural: </w:t>
      </w:r>
      <w:r>
        <w:t xml:space="preserve">Si en el futuro te encontraras en una situación donde [oportunidad o presión concreta relacionada con la dimensión], ¿qué tan de acuerdo estás con que [conducta íntegra]?</w:t>
      </w:r>
    </w:p>
    <w:p>
      <w:pPr>
        <w:spacing w:after="150"/>
      </w:pPr>
      <w:r>
        <w:rPr>
          <w:b/>
          <w:bCs/>
        </w:rPr>
        <w:t xml:space="preserve">Formato de respuesta: </w:t>
      </w:r>
      <w:r>
        <w:t xml:space="preserve">Escala de acuerdo de 5 alternativas, tratada como reactivo inverso (Totalmente en desacuerdo = mayor riesgo tras la transformación; Totalmente de acuerdo = menor riesgo).</w:t>
      </w:r>
    </w:p>
    <w:p>
      <w:pPr>
        <w:spacing w:after="150"/>
      </w:pPr>
      <w:r>
        <w:rPr>
          <w:b/>
          <w:bCs/>
        </w:rPr>
        <w:t xml:space="preserve">[INFERENCIA] </w:t>
      </w:r>
      <w:r>
        <w:t xml:space="preserve">Cada una de las 21 dimensiones (Núcleo o Contextual) está cubierta por los 5 tipos de reactivo, exactamente 2 de cada uno entre sus 10 ítems (DECISIONS.md punto 28), para evitar que el puntaje de una dimensión dependa de un único formato de pregunta y para reducir el riesgo de que las respuestas se concentren en un solo patrón (p. ej. 'totalmente de acuerdo' en todo).</w:t>
      </w:r>
    </w:p>
    <w:p>
      <w:pPr>
        <w:pStyle w:val="Heading1"/>
        <w:spacing w:after="200" w:before="400"/>
      </w:pPr>
      <w:r>
        <w:t xml:space="preserve">2. Escala de opción variable frente a Likert fijo</w:t>
      </w:r>
    </w:p>
    <w:p>
      <w:pPr>
        <w:spacing w:after="150"/>
      </w:pPr>
      <w:r>
        <w:rPr>
          <w:b/>
          <w:bCs/>
        </w:rPr>
        <w:t xml:space="preserve">[HECHO] </w:t>
      </w:r>
      <w:r>
        <w:t xml:space="preserve">El uso de una escala de opción variable (4 o 5 alternativas según el reactivo del banco v2) en vez de un Likert fijo para todos los ítems es una decisión ya aprobada en DECISIONS.md, replicando la filosofía de diseño identificada en el instrumento de referencia, pero con tabla de valores propia y documentada.</w:t>
      </w:r>
    </w:p>
    <w:p>
      <w:pPr>
        <w:spacing w:after="150"/>
      </w:pPr>
      <w:r>
        <w:t xml:space="preserve">Justificación de diseño:</w:t>
      </w:r>
    </w:p>
    <w:p>
      <w:pPr>
        <w:pStyle w:val="ListParagraph"/>
        <w:numPr>
          <w:ilvl w:val="0"/>
          <w:numId w:val="1"/>
        </w:numPr>
        <w:spacing w:after="60"/>
      </w:pPr>
      <w:r>
        <w:t xml:space="preserve">Ajuste al contenido del reactivo: un reactivo de tipo Escenario/dilema se responde mejor con una escala de probabilidad de 4 puntos que con un acuerdo/desacuerdo de 5 puntos, que fuerza una equivalencia artificial entre opciones que no son puntos de una misma recta.</w:t>
      </w:r>
    </w:p>
    <w:p>
      <w:pPr>
        <w:pStyle w:val="ListParagraph"/>
        <w:numPr>
          <w:ilvl w:val="0"/>
          <w:numId w:val="1"/>
        </w:numPr>
        <w:spacing w:after="60"/>
      </w:pPr>
      <w:r>
        <w:t xml:space="preserve">Reducción de la respuesta mecánica: variar el número y la naturaleza de las alternativas entre reactivos dificulta que una persona resuelva el test con un patrón de respuesta automático, lo que fortalece la sensibilidad de los indicadores de validez de Azarosidad y Aquiescencia (Sección 5).</w:t>
      </w:r>
    </w:p>
    <w:p>
      <w:pPr>
        <w:pStyle w:val="ListParagraph"/>
        <w:numPr>
          <w:ilvl w:val="0"/>
          <w:numId w:val="1"/>
        </w:numPr>
        <w:spacing w:after="60"/>
      </w:pPr>
      <w:r>
        <w:t xml:space="preserve">Precisión de la asignación de valor psicométrico: cada opción de cada reactivo recibe un valor propio en la matriz de scoring (Fase 6), documentado por reactivo en vez de asumir una distancia numérica uniforme entre categorías.</w:t>
      </w:r>
    </w:p>
    <w:p>
      <w:pPr>
        <w:pStyle w:val="ListParagraph"/>
        <w:numPr>
          <w:ilvl w:val="0"/>
          <w:numId w:val="1"/>
        </w:numPr>
        <w:spacing w:after="60"/>
      </w:pPr>
      <w:r>
        <w:t xml:space="preserve">Compatibilidad con migración futura a TRI/IRT: mantener el número de alternativas y su valor documentados por reactivo es el formato de entrada estándar para un análisis de Teoría de Respuesta al Ítem politómico cuando exista muestra piloto suficiente, conforme a DECISIONS.md punto 2.</w:t>
      </w:r>
    </w:p>
    <w:p>
      <w:pPr>
        <w:pStyle w:val="Heading1"/>
        <w:spacing w:after="200" w:before="400"/>
      </w:pPr>
      <w:r>
        <w:t xml:space="preserve">3. Reglas de direccionalidad: reactivos directos e inversos</w:t>
      </w:r>
    </w:p>
    <w:p>
      <w:pPr>
        <w:spacing w:after="150"/>
      </w:pPr>
      <w:r>
        <w:rPr>
          <w:b/>
          <w:bCs/>
        </w:rPr>
        <w:t xml:space="preserve">[INFERENCIA] </w:t>
      </w:r>
      <w:r>
        <w:t xml:space="preserve">Se define reactivo directo como aquel en el que la alternativa asociada a mayor riesgo recibe el valor numérico más alto en la escala cruda de respuesta, y reactivo inverso como aquel en el que la alternativa de mayor riesgo recibe el valor numérico más bajo en esa misma escala cruda (Valor_reactivo = Valor_máximo − Respuesta_cruda antes de sumarse a la dimensión; fórmula completa en Fase 6).</w:t>
      </w:r>
    </w:p>
    <w:p>
      <w:pPr>
        <w:spacing w:after="150"/>
      </w:pPr>
      <w:r>
        <w:t xml:space="preserve">Reglas de aplicación en el banco (DECISIONS.md punto 28):</w:t>
      </w:r>
    </w:p>
    <w:p>
      <w:pPr>
        <w:pStyle w:val="ListParagraph"/>
        <w:numPr>
          <w:ilvl w:val="0"/>
          <w:numId w:val="1"/>
        </w:numPr>
        <w:spacing w:after="60"/>
      </w:pPr>
      <w:r>
        <w:t xml:space="preserve">Las 21 dimensiones (Núcleo y Contextual por igual) incluyen exactamente 2 reactivos inversos entre sus 10 ítems: los dos reactivos de Tipo 6 (Intención futura), redactados como afirmación de conducta íntegra (a mayor acuerdo, menor riesgo). Los otros 8 ítems (Tipos 1, 2, 3 y 4) son siempre directos.</w:t>
      </w:r>
    </w:p>
    <w:p>
      <w:pPr>
        <w:pStyle w:val="ListParagraph"/>
        <w:numPr>
          <w:ilvl w:val="0"/>
          <w:numId w:val="1"/>
        </w:numPr>
        <w:spacing w:after="60"/>
      </w:pPr>
      <w:r>
        <w:t xml:space="preserve">Desde la Versión 4, las dimensiones de Factores Contextuales siguen exactamente el mismo esquema de dirección que el Núcleo (2 inversos de 10), aunque no formen parte del cálculo del IGI; esto simplifica el sistema al no tener dos reglas distintas de dirección según el grupo.</w:t>
      </w:r>
    </w:p>
    <w:p>
      <w:pPr>
        <w:pStyle w:val="ListParagraph"/>
        <w:numPr>
          <w:ilvl w:val="0"/>
          <w:numId w:val="1"/>
        </w:numPr>
        <w:spacing w:after="60"/>
      </w:pPr>
      <w:r>
        <w:t xml:space="preserve">La dirección de cada reactivo y el valor asignado a cada alternativa se documentan de forma explícita en la matriz de scoring de la Fase 6; ningún reactivo puede aplicarse sin esa documentación.</w:t>
      </w:r>
    </w:p>
    <w:p>
      <w:pPr>
        <w:pStyle w:val="Heading1"/>
        <w:spacing w:after="200" w:before="400"/>
      </w:pPr>
      <w:r>
        <w:t xml:space="preserve">4. Reactivos espejo y consistencia interna por dimensión</w:t>
      </w:r>
    </w:p>
    <w:p>
      <w:pPr>
        <w:spacing w:after="150"/>
      </w:pPr>
      <w:r>
        <w:rPr>
          <w:b/>
          <w:bCs/>
        </w:rPr>
        <w:t xml:space="preserve">[HECHO] </w:t>
      </w:r>
      <w:r>
        <w:t xml:space="preserve">DECISIONS.md punto 28 exige 5 pares de reactivos espejo por cada una de las 21 dimensiones (12 Núcleo + 9 Contextuales), ya que las Factores Contextuales dejaron de estar exceptuadas de este requisito desde la Versión 4.</w:t>
      </w:r>
    </w:p>
    <w:p>
      <w:pPr>
        <w:spacing w:after="150"/>
      </w:pPr>
      <w:r>
        <w:t xml:space="preserve">Cada dimensión usa el mismo esquema fijo de 5 pares, ligado a los 4 indicadores conductuales de la Fase 1 (el primer indicador listado se cubre con 2 pares, por ser el más nuclear del constructo; los otros 3 indicadores se cubren con 1 par cada uno):</w:t>
      </w:r>
    </w:p>
    <w:p>
      <w:pPr>
        <w:pStyle w:val="ListParagraph"/>
        <w:numPr>
          <w:ilvl w:val="0"/>
          <w:numId w:val="1"/>
        </w:numPr>
        <w:spacing w:after="60"/>
      </w:pPr>
      <w:r>
        <w:t xml:space="preserve">Par 1 (indicador 1): Opinión/Actitud (Directo) ↔ Intención futura (Inverso) — una persona puede rechazar fuertemente la racionalización de la conducta en el reactivo de Opinión y, sin embargo, no comprometerse con la conducta íntegra en el reactivo de Intención futura (o viceversa).</w:t>
      </w:r>
    </w:p>
    <w:p>
      <w:pPr>
        <w:pStyle w:val="ListParagraph"/>
        <w:numPr>
          <w:ilvl w:val="0"/>
          <w:numId w:val="1"/>
        </w:numPr>
        <w:spacing w:after="60"/>
      </w:pPr>
      <w:r>
        <w:t xml:space="preserve">Par 2 (indicador 2): Involucramiento pasado (Directo) ↔ Escenario/dilema (Directo) — compara el historial auto-reportado con el juicio ante una situación hipotética concreta sobre el mismo indicador.</w:t>
      </w:r>
    </w:p>
    <w:p>
      <w:pPr>
        <w:pStyle w:val="ListParagraph"/>
        <w:numPr>
          <w:ilvl w:val="0"/>
          <w:numId w:val="1"/>
        </w:numPr>
        <w:spacing w:after="60"/>
      </w:pPr>
      <w:r>
        <w:t xml:space="preserve">Par 3 (indicador 3): Percepción de terceros (Directo) ↔ Opinión/Actitud (Directo) — compara lo que la persona percibe en su entorno con su propia actitud declarada sobre el mismo indicador.</w:t>
      </w:r>
    </w:p>
    <w:p>
      <w:pPr>
        <w:pStyle w:val="ListParagraph"/>
        <w:numPr>
          <w:ilvl w:val="0"/>
          <w:numId w:val="1"/>
        </w:numPr>
        <w:spacing w:after="60"/>
      </w:pPr>
      <w:r>
        <w:t xml:space="preserve">Par 4 (indicador 4): Involucramiento pasado (Directo) ↔ Intención futura (Inverso) — igual lógica que el Par 1, aplicada a un indicador distinto.</w:t>
      </w:r>
    </w:p>
    <w:p>
      <w:pPr>
        <w:pStyle w:val="ListParagraph"/>
        <w:numPr>
          <w:ilvl w:val="0"/>
          <w:numId w:val="1"/>
        </w:numPr>
        <w:spacing w:after="60"/>
      </w:pPr>
      <w:r>
        <w:t xml:space="preserve">Par 5 (indicador 1, segunda faceta): Escenario/dilema (Directo) ↔ Percepción de terceros (Directo) — segunda mirada al indicador más nuclear, desde el ángulo situacional y el de percepción social.</w:t>
      </w:r>
    </w:p>
    <w:p>
      <w:pPr>
        <w:spacing w:after="150"/>
      </w:pPr>
      <w:r>
        <w:t xml:space="preserve">Ejemplo de la Dimensión 1 (Robo), con la misma estructura en las 21 dimensiones (solo cambia el contenido, nunca el esquema de tipos/dirección):</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400"/>
        <w:gridCol w:w="4000"/>
        <w:gridCol w:w="4000"/>
      </w:tblGrid>
      <w:tr>
        <w:tc>
          <w:tcPr>
            <w:tcW w:type="dxa" w:w="1400"/>
            <w:shd w:fill="D9D9D9" w:val="clear"/>
          </w:tcPr>
          <w:p>
            <w:r>
              <w:rPr>
                <w:b/>
                <w:bCs/>
              </w:rPr>
              <w:t xml:space="preserve">Par</w:t>
            </w:r>
          </w:p>
        </w:tc>
        <w:tc>
          <w:tcPr>
            <w:tcW w:type="dxa" w:w="4000"/>
            <w:shd w:fill="D9D9D9" w:val="clear"/>
          </w:tcPr>
          <w:p>
            <w:r>
              <w:rPr>
                <w:b/>
                <w:bCs/>
              </w:rPr>
              <w:t xml:space="preserve">Reactivo A</w:t>
            </w:r>
          </w:p>
        </w:tc>
        <w:tc>
          <w:tcPr>
            <w:tcW w:type="dxa" w:w="4000"/>
            <w:shd w:fill="D9D9D9" w:val="clear"/>
          </w:tcPr>
          <w:p>
            <w:r>
              <w:rPr>
                <w:b/>
                <w:bCs/>
              </w:rPr>
              <w:t xml:space="preserve">Reactivo B</w:t>
            </w:r>
          </w:p>
        </w:tc>
      </w:tr>
      <w:tr>
        <w:tc>
          <w:tcPr>
            <w:tcW w:type="dxa" w:w="1400"/>
          </w:tcPr>
          <w:p>
            <w:r>
              <w:rPr>
                <w:b w:val="false"/>
                <w:bCs w:val="false"/>
              </w:rPr>
              <w:t xml:space="preserve">Par 1</w:t>
            </w:r>
          </w:p>
        </w:tc>
        <w:tc>
          <w:tcPr>
            <w:tcW w:type="dxa" w:w="4000"/>
          </w:tcPr>
          <w:p>
            <w:r>
              <w:rPr>
                <w:b w:val="false"/>
                <w:bCs w:val="false"/>
              </w:rPr>
              <w:t xml:space="preserve">R001 (Opinión/Actitud)</w:t>
            </w:r>
          </w:p>
        </w:tc>
        <w:tc>
          <w:tcPr>
            <w:tcW w:type="dxa" w:w="4000"/>
          </w:tcPr>
          <w:p>
            <w:r>
              <w:rPr>
                <w:b w:val="false"/>
                <w:bCs w:val="false"/>
              </w:rPr>
              <w:t xml:space="preserve">R002 (Intención futura)</w:t>
            </w:r>
          </w:p>
        </w:tc>
      </w:tr>
      <w:tr>
        <w:tc>
          <w:tcPr>
            <w:tcW w:type="dxa" w:w="1400"/>
          </w:tcPr>
          <w:p>
            <w:r>
              <w:rPr>
                <w:b w:val="false"/>
                <w:bCs w:val="false"/>
              </w:rPr>
              <w:t xml:space="preserve">Par 2</w:t>
            </w:r>
          </w:p>
        </w:tc>
        <w:tc>
          <w:tcPr>
            <w:tcW w:type="dxa" w:w="4000"/>
          </w:tcPr>
          <w:p>
            <w:r>
              <w:rPr>
                <w:b w:val="false"/>
                <w:bCs w:val="false"/>
              </w:rPr>
              <w:t xml:space="preserve">R003 (Involucramiento pasado)</w:t>
            </w:r>
          </w:p>
        </w:tc>
        <w:tc>
          <w:tcPr>
            <w:tcW w:type="dxa" w:w="4000"/>
          </w:tcPr>
          <w:p>
            <w:r>
              <w:rPr>
                <w:b w:val="false"/>
                <w:bCs w:val="false"/>
              </w:rPr>
              <w:t xml:space="preserve">R004 (Escenario/dilema)</w:t>
            </w:r>
          </w:p>
        </w:tc>
      </w:tr>
      <w:tr>
        <w:tc>
          <w:tcPr>
            <w:tcW w:type="dxa" w:w="1400"/>
          </w:tcPr>
          <w:p>
            <w:r>
              <w:rPr>
                <w:b w:val="false"/>
                <w:bCs w:val="false"/>
              </w:rPr>
              <w:t xml:space="preserve">Par 3</w:t>
            </w:r>
          </w:p>
        </w:tc>
        <w:tc>
          <w:tcPr>
            <w:tcW w:type="dxa" w:w="4000"/>
          </w:tcPr>
          <w:p>
            <w:r>
              <w:rPr>
                <w:b w:val="false"/>
                <w:bCs w:val="false"/>
              </w:rPr>
              <w:t xml:space="preserve">R005 (Percepción de terceros)</w:t>
            </w:r>
          </w:p>
        </w:tc>
        <w:tc>
          <w:tcPr>
            <w:tcW w:type="dxa" w:w="4000"/>
          </w:tcPr>
          <w:p>
            <w:r>
              <w:rPr>
                <w:b w:val="false"/>
                <w:bCs w:val="false"/>
              </w:rPr>
              <w:t xml:space="preserve">R006 (Opinión/Actitud)</w:t>
            </w:r>
          </w:p>
        </w:tc>
      </w:tr>
      <w:tr>
        <w:tc>
          <w:tcPr>
            <w:tcW w:type="dxa" w:w="1400"/>
          </w:tcPr>
          <w:p>
            <w:r>
              <w:rPr>
                <w:b w:val="false"/>
                <w:bCs w:val="false"/>
              </w:rPr>
              <w:t xml:space="preserve">Par 4</w:t>
            </w:r>
          </w:p>
        </w:tc>
        <w:tc>
          <w:tcPr>
            <w:tcW w:type="dxa" w:w="4000"/>
          </w:tcPr>
          <w:p>
            <w:r>
              <w:rPr>
                <w:b w:val="false"/>
                <w:bCs w:val="false"/>
              </w:rPr>
              <w:t xml:space="preserve">R007 (Involucramiento pasado)</w:t>
            </w:r>
          </w:p>
        </w:tc>
        <w:tc>
          <w:tcPr>
            <w:tcW w:type="dxa" w:w="4000"/>
          </w:tcPr>
          <w:p>
            <w:r>
              <w:rPr>
                <w:b w:val="false"/>
                <w:bCs w:val="false"/>
              </w:rPr>
              <w:t xml:space="preserve">R008 (Intención futura)</w:t>
            </w:r>
          </w:p>
        </w:tc>
      </w:tr>
      <w:tr>
        <w:tc>
          <w:tcPr>
            <w:tcW w:type="dxa" w:w="1400"/>
          </w:tcPr>
          <w:p>
            <w:r>
              <w:rPr>
                <w:b w:val="false"/>
                <w:bCs w:val="false"/>
              </w:rPr>
              <w:t xml:space="preserve">Par 5</w:t>
            </w:r>
          </w:p>
        </w:tc>
        <w:tc>
          <w:tcPr>
            <w:tcW w:type="dxa" w:w="4000"/>
          </w:tcPr>
          <w:p>
            <w:r>
              <w:rPr>
                <w:b w:val="false"/>
                <w:bCs w:val="false"/>
              </w:rPr>
              <w:t xml:space="preserve">R009 (Escenario/dilema)</w:t>
            </w:r>
          </w:p>
        </w:tc>
        <w:tc>
          <w:tcPr>
            <w:tcW w:type="dxa" w:w="4000"/>
          </w:tcPr>
          <w:p>
            <w:r>
              <w:rPr>
                <w:b w:val="false"/>
                <w:bCs w:val="false"/>
              </w:rPr>
              <w:t xml:space="preserve">R010 (Percepción de terceros)</w:t>
            </w:r>
          </w:p>
        </w:tc>
      </w:tr>
    </w:tbl>
    <w:p>
      <w:pPr>
        <w:spacing w:after="100"/>
      </w:pPr>
      <w:r>
        <w:t xml:space="preserve"/>
      </w:r>
    </w:p>
    <w:p>
      <w:pPr>
        <w:spacing w:after="150"/>
      </w:pPr>
      <w:r>
        <w:t xml:space="preserve">La tabla completa de los 105 pares espejo (21 dimensiones × 5) está documentada reactivo por reactivo en el campo 'Reactivos de contraste' de cada ítem, en las Fases 3, 4 y 5, y en los archivos independientes por dimensión (carpeta Reactivos_por_Dimension).</w:t>
      </w:r>
    </w:p>
    <w:p>
      <w:pPr>
        <w:spacing w:after="150"/>
      </w:pPr>
      <w:r>
        <w:rPr>
          <w:b/>
          <w:bCs/>
        </w:rPr>
        <w:t xml:space="preserve">[HIPÓTESIS] </w:t>
      </w:r>
      <w:r>
        <w:t xml:space="preserve"> Regla general de tolerancia: se considera 'contradicción' cuando las respuestas a un par espejo caen en polos opuestos de sus respectivas escalas (extremo de bajo riesgo en un ítem y extremo de alto riesgo en el otro); una divergencia moderada de un solo escalón no se cuenta como contradicción. El umbral exacto se calibra empíricamente en la Fase 9 con datos piloto.</w:t>
      </w:r>
    </w:p>
    <w:p>
      <w:pPr>
        <w:pStyle w:val="Heading1"/>
        <w:spacing w:after="200" w:before="400"/>
      </w:pPr>
      <w:r>
        <w:t xml:space="preserve">5. Indicadores de validez del protocolo</w:t>
      </w:r>
    </w:p>
    <w:p>
      <w:pPr>
        <w:spacing w:after="150"/>
      </w:pPr>
      <w:r>
        <w:rPr>
          <w:b/>
          <w:bCs/>
        </w:rPr>
        <w:t xml:space="preserve">[INFERENCIA] </w:t>
      </w:r>
      <w:r>
        <w:t xml:space="preserve"> El instrumento incorpora 4 indicadores de validez transversales, no atribuibles a ninguna dimensión de contenido, cuyo propósito es evaluar la calidad del proceso de respuesta en sí mismo. Estos 4 indicadores no cambian con el tamaño del banco de reactivos (80 en v1, 75 en v2, 210 en la Versión 4 vigente): su mecánica es la misma, solo cambia la cantidad de pares espejo disponibles para el indicador de Contradicción (Sección 5.4).</w:t>
      </w:r>
    </w:p>
    <w:p>
      <w:pPr>
        <w:pStyle w:val="Heading3"/>
        <w:spacing w:after="100" w:before="200"/>
      </w:pPr>
      <w:r>
        <w:t xml:space="preserve">5.1 Azarosidad (respuesta al azar / sin atención)</w:t>
      </w:r>
    </w:p>
    <w:p>
      <w:pPr>
        <w:spacing w:after="150"/>
      </w:pPr>
      <w:r>
        <w:rPr>
          <w:b/>
          <w:bCs/>
        </w:rPr>
        <w:t xml:space="preserve">Mecanismo: </w:t>
      </w:r>
      <w:r>
        <w:t xml:space="preserve">Se insertan 2 a 6 reactivos de control (según el tamaño de la batería aplicada), de dos mecanismos distintos: (a) instrucción explícita embebida en el enunciado (ej. 'Para confirmar que estás leyendo con atención, selecciona la opción "De acuerdo"'), indistinguible en formato de un reactivo real; y (b) trivia de conocimiento general obvio, sin instrucción embebida (ej. una pregunta sobre el continente donde está Ecuador), que detecta lo mismo por una vía distinta para que los controles no compartan un único patrón reconocible entre sí. Los 6 textos exactos, sus variantes y la regla de cantidad por batería están cerrados y documentados en la Sección 5.1bis.</w:t>
      </w:r>
    </w:p>
    <w:p>
      <w:pPr>
        <w:spacing w:after="150"/>
      </w:pPr>
      <w:r>
        <w:rPr>
          <w:b/>
          <w:bCs/>
        </w:rPr>
        <w:t xml:space="preserve">Qué detecta: </w:t>
      </w:r>
      <w:r>
        <w:t xml:space="preserve">Respuesta mecánica, apurada o sin lectura efectiva del contenido, independientemente del contenido sustantivo de las demás dimensiones.</w:t>
      </w:r>
    </w:p>
    <w:p>
      <w:pPr>
        <w:spacing w:after="150"/>
      </w:pPr>
      <w:r>
        <w:rPr>
          <w:b/>
          <w:bCs/>
        </w:rPr>
        <w:t xml:space="preserve">[HIPÓTESIS] </w:t>
      </w:r>
      <w:r>
        <w:rPr>
          <w:b/>
          <w:bCs/>
        </w:rPr>
        <w:t xml:space="preserve">Regla de invalidación: </w:t>
      </w:r>
      <w:r>
        <w:t xml:space="preserve">Fallar 1 reactivo de control genera una alerta interna sin invalidar el resultado; fallar 2 o más se marca como invalidación total del protocolo.</w:t>
      </w:r>
    </w:p>
    <w:p>
      <w:pPr>
        <w:pStyle w:val="Heading3"/>
        <w:spacing w:after="100" w:before="200"/>
      </w:pPr>
      <w:r>
        <w:t xml:space="preserve">5.2 Omisión (no respuesta)</w:t>
      </w:r>
    </w:p>
    <w:p>
      <w:pPr>
        <w:spacing w:after="150"/>
      </w:pPr>
      <w:r>
        <w:rPr>
          <w:b/>
          <w:bCs/>
        </w:rPr>
        <w:t xml:space="preserve">Mecanismo: </w:t>
      </w:r>
      <w:r>
        <w:t xml:space="preserve">Se registra la proporción de reactivos no respondidos, tanto a nivel de cada dimensión como del test completo.</w:t>
      </w:r>
    </w:p>
    <w:p>
      <w:pPr>
        <w:spacing w:after="150"/>
      </w:pPr>
      <w:r>
        <w:rPr>
          <w:b/>
          <w:bCs/>
        </w:rPr>
        <w:t xml:space="preserve">Qué detecta: </w:t>
      </w:r>
      <w:r>
        <w:t xml:space="preserve">Evitación selectiva de contenido incómodo (omisión concentrada en una dimensión) o desconexión general del proceso (omisión distribuida).</w:t>
      </w:r>
    </w:p>
    <w:p>
      <w:pPr>
        <w:spacing w:after="150"/>
      </w:pPr>
      <w:r>
        <w:rPr>
          <w:b/>
          <w:bCs/>
        </w:rPr>
        <w:t xml:space="preserve">[HIPÓTESIS] </w:t>
      </w:r>
      <w:r>
        <w:rPr>
          <w:b/>
          <w:bCs/>
        </w:rPr>
        <w:t xml:space="preserve">Regla de invalidación: </w:t>
      </w:r>
      <w:r>
        <w:t xml:space="preserve">Omisión superior al 25% de los reactivos de una misma dimensión invalida parcialmente esa dimensión (se reporta como 'no concluyente'); omisión superior al 15% del total del test invalida el protocolo completo.</w:t>
      </w:r>
    </w:p>
    <w:p>
      <w:pPr>
        <w:pStyle w:val="Heading3"/>
        <w:spacing w:after="100" w:before="200"/>
      </w:pPr>
      <w:r>
        <w:t xml:space="preserve">5.3 Aquiescencia (tendencia a responder en la misma dirección sin importar el contenido)</w:t>
      </w:r>
    </w:p>
    <w:p>
      <w:pPr>
        <w:spacing w:after="150"/>
      </w:pPr>
      <w:r>
        <w:rPr>
          <w:b/>
          <w:bCs/>
        </w:rPr>
        <w:t xml:space="preserve">Mecanismo: </w:t>
      </w:r>
      <w:r>
        <w:t xml:space="preserve">Se compara el patrón de respuesta entre los reactivos directos e inversos de una misma dimensión Núcleo (Sección 3); una persona con aquiescencia alta tiende a marcar sistemáticamente el extremo de acuerdo o de mayor frecuencia en ambos tipos, lo cual es matemáticamente inconsistente.</w:t>
      </w:r>
    </w:p>
    <w:p>
      <w:pPr>
        <w:spacing w:after="150"/>
      </w:pPr>
      <w:r>
        <w:rPr>
          <w:b/>
          <w:bCs/>
        </w:rPr>
        <w:t xml:space="preserve">Qué detecta: </w:t>
      </w:r>
      <w:r>
        <w:t xml:space="preserve">Estilo de respuesta que distorsiona el contenido sustantivo, distinto de un patrón de deshonestidad genuino.</w:t>
      </w:r>
    </w:p>
    <w:p>
      <w:pPr>
        <w:spacing w:after="150"/>
      </w:pPr>
      <w:r>
        <w:rPr>
          <w:b/>
          <w:bCs/>
        </w:rPr>
        <w:t xml:space="preserve">[HIPÓTESIS] </w:t>
      </w:r>
      <w:r>
        <w:rPr>
          <w:b/>
          <w:bCs/>
        </w:rPr>
        <w:t xml:space="preserve">Regla de invalidación: </w:t>
      </w:r>
      <w:r>
        <w:t xml:space="preserve">Un patrón de aquiescencia detectado en 2 o más de las 12 dimensiones Núcleo invalida parcialmente esas dimensiones; un patrón sostenido en 5 o más invalida el protocolo completo.</w:t>
      </w:r>
    </w:p>
    <w:p>
      <w:pPr>
        <w:pStyle w:val="Heading3"/>
        <w:spacing w:after="100" w:before="200"/>
      </w:pPr>
      <w:r>
        <w:t xml:space="preserve">5.4 Contradicción (inconsistencia entre reactivos espejo)</w:t>
      </w:r>
    </w:p>
    <w:p>
      <w:pPr>
        <w:spacing w:after="150"/>
      </w:pPr>
      <w:r>
        <w:rPr>
          <w:b/>
          <w:bCs/>
        </w:rPr>
        <w:t xml:space="preserve">Mecanismo: </w:t>
      </w:r>
      <w:r>
        <w:t xml:space="preserve">Se cuenta el número de los 105 pares espejo (21 dimensiones × 5, Sección 4) cuya respuesta cae en polos opuestos según la regla de tolerancia.</w:t>
      </w:r>
    </w:p>
    <w:p>
      <w:pPr>
        <w:spacing w:after="150"/>
      </w:pPr>
      <w:r>
        <w:rPr>
          <w:b/>
          <w:bCs/>
        </w:rPr>
        <w:t xml:space="preserve">Qué detecta: </w:t>
      </w:r>
      <w:r>
        <w:t xml:space="preserve">Manejo estratégico de la impresión (la persona ajusta su respuesta según el ángulo desde el que se le pregunta lo mismo) o baja comprensión lectora del reactivo; ambas hipótesis se documentan como alternativas a explorar, sin asumir automáticamente mala fe.</w:t>
      </w:r>
    </w:p>
    <w:p>
      <w:pPr>
        <w:spacing w:after="150"/>
      </w:pPr>
      <w:r>
        <w:rPr>
          <w:b/>
          <w:bCs/>
        </w:rPr>
        <w:t xml:space="preserve">[HIPÓTESIS] </w:t>
      </w:r>
      <w:r>
        <w:rPr>
          <w:b/>
          <w:bCs/>
        </w:rPr>
        <w:t xml:space="preserve">Regla de invalidación: </w:t>
      </w:r>
      <w:r>
        <w:t xml:space="preserve">1 contradicción detectada dentro de una misma dimensión invalida parcialmente esa dimensión (se reporta con nota de baja confiabilidad); si el total de pares en contradicción de una dimensión llega a 2 de sus 5 pares, o si hay contradicciones distribuidas en 3 o más dimensiones distintas, se invalida el protocolo completo.</w:t>
      </w:r>
    </w:p>
    <w:p>
      <w:pPr>
        <w:pStyle w:val="Heading3"/>
        <w:spacing w:after="100" w:before="200"/>
      </w:pPr>
      <w:r>
        <w:t xml:space="preserve">5.1bis Los 6 reactivos de control de Azarosidad (cerrado 2026-09-15, ampliado 2026-09-15)</w:t>
      </w:r>
    </w:p>
    <w:p>
      <w:pPr>
        <w:spacing w:after="150"/>
      </w:pPr>
      <w:r>
        <w:rPr>
          <w:b/>
          <w:bCs/>
        </w:rPr>
        <w:t xml:space="preserve">[HECHO] </w:t>
      </w:r>
      <w:r>
        <w:t xml:space="preserve"> Se redactan y cierran los 6 reactivos de control que la Sección 5.1 dejaba descritos solo en su mecánica. Son transversales (no pertenecen a ninguna de las 21 dimensiones, no aportan puntaje a ningún Puntaje_dimensión ni al IGI). Hay dos mecanismos distintos, para que los controles no compartan un único patrón reconocible entre sí: CTRL01-04 traen una instrucción explícita embebida que solo se sigue correctamente leyendo el reactivo con atención; CTRL05-06 son preguntas de trivia obvia (cultura general) sin ninguna instrucción, donde fallar delata falta de atención o comprensión lectora mínima de otra manera. Como el resto del banco (DECISIONS.md punto 13), cada uno tiene 5 variantes de redacción; lo único que cambia entre variantes es la forma de plantear la pregunta o instrucción, nunca la opción objetivo ni la escala.</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900"/>
        <w:gridCol w:w="1700"/>
        <w:gridCol w:w="3400"/>
        <w:gridCol w:w="2600"/>
        <w:gridCol w:w="1700"/>
      </w:tblGrid>
      <w:tr>
        <w:tc>
          <w:tcPr>
            <w:tcW w:type="dxa" w:w="900"/>
            <w:shd w:fill="D9D9D9" w:val="clear"/>
          </w:tcPr>
          <w:p>
            <w:r>
              <w:rPr>
                <w:b/>
                <w:bCs/>
              </w:rPr>
              <w:t xml:space="preserve">ID</w:t>
            </w:r>
          </w:p>
        </w:tc>
        <w:tc>
          <w:tcPr>
            <w:tcW w:type="dxa" w:w="1700"/>
            <w:shd w:fill="D9D9D9" w:val="clear"/>
          </w:tcPr>
          <w:p>
            <w:r>
              <w:rPr>
                <w:b/>
                <w:bCs/>
              </w:rPr>
              <w:t xml:space="preserve">Mecanismo</w:t>
            </w:r>
          </w:p>
        </w:tc>
        <w:tc>
          <w:tcPr>
            <w:tcW w:type="dxa" w:w="3400"/>
            <w:shd w:fill="D9D9D9" w:val="clear"/>
          </w:tcPr>
          <w:p>
            <w:r>
              <w:rPr>
                <w:b/>
                <w:bCs/>
              </w:rPr>
              <w:t xml:space="preserve">Reactivo (variante base)</w:t>
            </w:r>
          </w:p>
        </w:tc>
        <w:tc>
          <w:tcPr>
            <w:tcW w:type="dxa" w:w="2600"/>
            <w:shd w:fill="D9D9D9" w:val="clear"/>
          </w:tcPr>
          <w:p>
            <w:r>
              <w:rPr>
                <w:b/>
                <w:bCs/>
              </w:rPr>
              <w:t xml:space="preserve">Escala mostrada</w:t>
            </w:r>
          </w:p>
        </w:tc>
        <w:tc>
          <w:tcPr>
            <w:tcW w:type="dxa" w:w="1700"/>
            <w:shd w:fill="D9D9D9" w:val="clear"/>
          </w:tcPr>
          <w:p>
            <w:r>
              <w:rPr>
                <w:b/>
                <w:bCs/>
              </w:rPr>
              <w:t xml:space="preserve">Opción objetivo (única correcta)</w:t>
            </w:r>
          </w:p>
        </w:tc>
      </w:tr>
      <w:tr>
        <w:tc>
          <w:tcPr>
            <w:tcW w:type="dxa" w:w="900"/>
          </w:tcPr>
          <w:p>
            <w:r>
              <w:rPr>
                <w:b w:val="false"/>
                <w:bCs w:val="false"/>
              </w:rPr>
              <w:t xml:space="preserve">CTRL01</w:t>
            </w:r>
          </w:p>
        </w:tc>
        <w:tc>
          <w:tcPr>
            <w:tcW w:type="dxa" w:w="1700"/>
          </w:tcPr>
          <w:p>
            <w:r>
              <w:rPr>
                <w:b w:val="false"/>
                <w:bCs w:val="false"/>
              </w:rPr>
              <w:t xml:space="preserve">instrucción embebida</w:t>
            </w:r>
          </w:p>
        </w:tc>
        <w:tc>
          <w:tcPr>
            <w:tcW w:type="dxa" w:w="3400"/>
          </w:tcPr>
          <w:p>
            <w:r>
              <w:rPr>
                <w:b w:val="false"/>
                <w:bCs w:val="false"/>
              </w:rPr>
              <w:t xml:space="preserve">Este reactivo es un control de atención, no evalúa tu opinión: para continuar, selecciona la opción "De acuerdo" en la escala que aparece a continuación.</w:t>
            </w:r>
          </w:p>
        </w:tc>
        <w:tc>
          <w:tcPr>
            <w:tcW w:type="dxa" w:w="2600"/>
          </w:tcPr>
          <w:p>
            <w:r>
              <w:rPr>
                <w:b w:val="false"/>
                <w:bCs w:val="false"/>
              </w:rPr>
              <w:t xml:space="preserve">Totalmente en desacuerdo / En desacuerdo / Algo de acuerdo / De acuerdo / Totalmente de acuerdo</w:t>
            </w:r>
          </w:p>
        </w:tc>
        <w:tc>
          <w:tcPr>
            <w:tcW w:type="dxa" w:w="1700"/>
          </w:tcPr>
          <w:p>
            <w:r>
              <w:rPr>
                <w:b w:val="false"/>
                <w:bCs w:val="false"/>
              </w:rPr>
              <w:t xml:space="preserve">De acuerdo</w:t>
            </w:r>
          </w:p>
        </w:tc>
      </w:tr>
      <w:tr>
        <w:tc>
          <w:tcPr>
            <w:tcW w:type="dxa" w:w="900"/>
          </w:tcPr>
          <w:p>
            <w:r>
              <w:rPr>
                <w:b w:val="false"/>
                <w:bCs w:val="false"/>
              </w:rPr>
              <w:t xml:space="preserve">CTRL02</w:t>
            </w:r>
          </w:p>
        </w:tc>
        <w:tc>
          <w:tcPr>
            <w:tcW w:type="dxa" w:w="1700"/>
          </w:tcPr>
          <w:p>
            <w:r>
              <w:rPr>
                <w:b w:val="false"/>
                <w:bCs w:val="false"/>
              </w:rPr>
              <w:t xml:space="preserve">instrucción embebida</w:t>
            </w:r>
          </w:p>
        </w:tc>
        <w:tc>
          <w:tcPr>
            <w:tcW w:type="dxa" w:w="3400"/>
          </w:tcPr>
          <w:p>
            <w:r>
              <w:rPr>
                <w:b w:val="false"/>
                <w:bCs w:val="false"/>
              </w:rPr>
              <w:t xml:space="preserve">Reactivo de control de atención: selecciona la opción "Rara vez" para confirmar que sigues leyendo cada pregunta con cuidado.</w:t>
            </w:r>
          </w:p>
        </w:tc>
        <w:tc>
          <w:tcPr>
            <w:tcW w:type="dxa" w:w="2600"/>
          </w:tcPr>
          <w:p>
            <w:r>
              <w:rPr>
                <w:b w:val="false"/>
                <w:bCs w:val="false"/>
              </w:rPr>
              <w:t xml:space="preserve">Nunca o muy raro / Rara vez / Frecuentemente / Muy frecuentemente</w:t>
            </w:r>
          </w:p>
        </w:tc>
        <w:tc>
          <w:tcPr>
            <w:tcW w:type="dxa" w:w="1700"/>
          </w:tcPr>
          <w:p>
            <w:r>
              <w:rPr>
                <w:b w:val="false"/>
                <w:bCs w:val="false"/>
              </w:rPr>
              <w:t xml:space="preserve">Rara vez</w:t>
            </w:r>
          </w:p>
        </w:tc>
      </w:tr>
      <w:tr>
        <w:tc>
          <w:tcPr>
            <w:tcW w:type="dxa" w:w="900"/>
          </w:tcPr>
          <w:p>
            <w:r>
              <w:rPr>
                <w:b w:val="false"/>
                <w:bCs w:val="false"/>
              </w:rPr>
              <w:t xml:space="preserve">CTRL03</w:t>
            </w:r>
          </w:p>
        </w:tc>
        <w:tc>
          <w:tcPr>
            <w:tcW w:type="dxa" w:w="1700"/>
          </w:tcPr>
          <w:p>
            <w:r>
              <w:rPr>
                <w:b w:val="false"/>
                <w:bCs w:val="false"/>
              </w:rPr>
              <w:t xml:space="preserve">instrucción embebida</w:t>
            </w:r>
          </w:p>
        </w:tc>
        <w:tc>
          <w:tcPr>
            <w:tcW w:type="dxa" w:w="3400"/>
          </w:tcPr>
          <w:p>
            <w:r>
              <w:rPr>
                <w:b w:val="false"/>
                <w:bCs w:val="false"/>
              </w:rPr>
              <w:t xml:space="preserve">Este reactivo no describe una situación real: es un control de calidad de tus respuestas. Selecciona la opción "Poco probable".</w:t>
            </w:r>
          </w:p>
        </w:tc>
        <w:tc>
          <w:tcPr>
            <w:tcW w:type="dxa" w:w="2600"/>
          </w:tcPr>
          <w:p>
            <w:r>
              <w:rPr>
                <w:b w:val="false"/>
                <w:bCs w:val="false"/>
              </w:rPr>
              <w:t xml:space="preserve">Nada probable / Poco probable / Probable / Muy probable</w:t>
            </w:r>
          </w:p>
        </w:tc>
        <w:tc>
          <w:tcPr>
            <w:tcW w:type="dxa" w:w="1700"/>
          </w:tcPr>
          <w:p>
            <w:r>
              <w:rPr>
                <w:b w:val="false"/>
                <w:bCs w:val="false"/>
              </w:rPr>
              <w:t xml:space="preserve">Poco probable</w:t>
            </w:r>
          </w:p>
        </w:tc>
      </w:tr>
      <w:tr>
        <w:tc>
          <w:tcPr>
            <w:tcW w:type="dxa" w:w="900"/>
          </w:tcPr>
          <w:p>
            <w:r>
              <w:rPr>
                <w:b w:val="false"/>
                <w:bCs w:val="false"/>
              </w:rPr>
              <w:t xml:space="preserve">CTRL04</w:t>
            </w:r>
          </w:p>
        </w:tc>
        <w:tc>
          <w:tcPr>
            <w:tcW w:type="dxa" w:w="1700"/>
          </w:tcPr>
          <w:p>
            <w:r>
              <w:rPr>
                <w:b w:val="false"/>
                <w:bCs w:val="false"/>
              </w:rPr>
              <w:t xml:space="preserve">instrucción embebida</w:t>
            </w:r>
          </w:p>
        </w:tc>
        <w:tc>
          <w:tcPr>
            <w:tcW w:type="dxa" w:w="3400"/>
          </w:tcPr>
          <w:p>
            <w:r>
              <w:rPr>
                <w:b w:val="false"/>
                <w:bCs w:val="false"/>
              </w:rPr>
              <w:t xml:space="preserve">Control de atención: para continuar, selecciona la opción "Ninguna vez" en la siguiente escala, sin importar tu historial real.</w:t>
            </w:r>
          </w:p>
        </w:tc>
        <w:tc>
          <w:tcPr>
            <w:tcW w:type="dxa" w:w="2600"/>
          </w:tcPr>
          <w:p>
            <w:r>
              <w:rPr>
                <w:b w:val="false"/>
                <w:bCs w:val="false"/>
              </w:rPr>
              <w:t xml:space="preserve">Ninguna vez / Pocas veces / Algunas veces / Varias veces / Muchas veces o de forma habitual</w:t>
            </w:r>
          </w:p>
        </w:tc>
        <w:tc>
          <w:tcPr>
            <w:tcW w:type="dxa" w:w="1700"/>
          </w:tcPr>
          <w:p>
            <w:r>
              <w:rPr>
                <w:b w:val="false"/>
                <w:bCs w:val="false"/>
              </w:rPr>
              <w:t xml:space="preserve">Ninguna vez</w:t>
            </w:r>
          </w:p>
        </w:tc>
      </w:tr>
      <w:tr>
        <w:tc>
          <w:tcPr>
            <w:tcW w:type="dxa" w:w="900"/>
          </w:tcPr>
          <w:p>
            <w:r>
              <w:rPr>
                <w:b w:val="false"/>
                <w:bCs w:val="false"/>
              </w:rPr>
              <w:t xml:space="preserve">CTRL05</w:t>
            </w:r>
          </w:p>
        </w:tc>
        <w:tc>
          <w:tcPr>
            <w:tcW w:type="dxa" w:w="1700"/>
          </w:tcPr>
          <w:p>
            <w:r>
              <w:rPr>
                <w:b w:val="false"/>
                <w:bCs w:val="false"/>
              </w:rPr>
              <w:t xml:space="preserve">trivia obvia</w:t>
            </w:r>
          </w:p>
        </w:tc>
        <w:tc>
          <w:tcPr>
            <w:tcW w:type="dxa" w:w="3400"/>
          </w:tcPr>
          <w:p>
            <w:r>
              <w:rPr>
                <w:b w:val="false"/>
                <w:bCs w:val="false"/>
              </w:rPr>
              <w:t xml:space="preserve">¿En qué continente se encuentra Ecuador?</w:t>
            </w:r>
          </w:p>
        </w:tc>
        <w:tc>
          <w:tcPr>
            <w:tcW w:type="dxa" w:w="2600"/>
          </w:tcPr>
          <w:p>
            <w:r>
              <w:rPr>
                <w:b w:val="false"/>
                <w:bCs w:val="false"/>
              </w:rPr>
              <w:t xml:space="preserve">América / Europa / África / Oceanía</w:t>
            </w:r>
          </w:p>
        </w:tc>
        <w:tc>
          <w:tcPr>
            <w:tcW w:type="dxa" w:w="1700"/>
          </w:tcPr>
          <w:p>
            <w:r>
              <w:rPr>
                <w:b w:val="false"/>
                <w:bCs w:val="false"/>
              </w:rPr>
              <w:t xml:space="preserve">América</w:t>
            </w:r>
          </w:p>
        </w:tc>
      </w:tr>
      <w:tr>
        <w:tc>
          <w:tcPr>
            <w:tcW w:type="dxa" w:w="900"/>
          </w:tcPr>
          <w:p>
            <w:r>
              <w:rPr>
                <w:b w:val="false"/>
                <w:bCs w:val="false"/>
              </w:rPr>
              <w:t xml:space="preserve">CTRL06</w:t>
            </w:r>
          </w:p>
        </w:tc>
        <w:tc>
          <w:tcPr>
            <w:tcW w:type="dxa" w:w="1700"/>
          </w:tcPr>
          <w:p>
            <w:r>
              <w:rPr>
                <w:b w:val="false"/>
                <w:bCs w:val="false"/>
              </w:rPr>
              <w:t xml:space="preserve">trivia obvia</w:t>
            </w:r>
          </w:p>
        </w:tc>
        <w:tc>
          <w:tcPr>
            <w:tcW w:type="dxa" w:w="3400"/>
          </w:tcPr>
          <w:p>
            <w:r>
              <w:rPr>
                <w:b w:val="false"/>
                <w:bCs w:val="false"/>
              </w:rPr>
              <w:t xml:space="preserve">¿De qué color es el cielo en un día despejado, sin nubes?</w:t>
            </w:r>
          </w:p>
        </w:tc>
        <w:tc>
          <w:tcPr>
            <w:tcW w:type="dxa" w:w="2600"/>
          </w:tcPr>
          <w:p>
            <w:r>
              <w:rPr>
                <w:b w:val="false"/>
                <w:bCs w:val="false"/>
              </w:rPr>
              <w:t xml:space="preserve">Azul / Verde / Rojo / Amarillo</w:t>
            </w:r>
          </w:p>
        </w:tc>
        <w:tc>
          <w:tcPr>
            <w:tcW w:type="dxa" w:w="1700"/>
          </w:tcPr>
          <w:p>
            <w:r>
              <w:rPr>
                <w:b w:val="false"/>
                <w:bCs w:val="false"/>
              </w:rPr>
              <w:t xml:space="preserve">Azul</w:t>
            </w:r>
          </w:p>
        </w:tc>
      </w:tr>
    </w:tbl>
    <w:p>
      <w:pPr>
        <w:spacing w:after="100"/>
      </w:pPr>
      <w:r>
        <w:t xml:space="preserve"/>
      </w:r>
    </w:p>
    <w:p>
      <w:pPr>
        <w:spacing w:after="150"/>
      </w:pPr>
      <w:r>
        <w:rPr>
          <w:b/>
          <w:bCs/>
        </w:rPr>
        <w:t xml:space="preserve">[HIPÓTESIS] </w:t>
      </w:r>
      <w:r>
        <w:t xml:space="preserve"> Los 6 controles usan escalas/formatos distintos entre sí (acuerdo de 5 puntos, frecuencia percibida de 4, probabilidad de 4, frecuencia autorreportada de 5, y 2 escalas de opción múltiple de cultura general — los primeros 4 formatos ya usados en el banco sustantivo, Sección 1) y objetivos en posiciones distintas dentro de su escala (no siempre 'la segunda opción' ni siempre el mismo extremo), precisamente para que no compartan un patrón reconocible entre sí ni con los reactivos reales.</w:t>
      </w:r>
    </w:p>
    <w:p>
      <w:pPr>
        <w:spacing w:after="150"/>
      </w:pPr>
      <w:r>
        <w:t xml:space="preserve">Regla de cantidad de controles según el tamaño de la batería aplicada (DECISIONS.md, Regla de configuración por puesto), balanceando siempre entre los dos mecanismos:</w:t>
      </w:r>
    </w:p>
    <w:p>
      <w:pPr>
        <w:pStyle w:val="ListParagraph"/>
        <w:numPr>
          <w:ilvl w:val="0"/>
          <w:numId w:val="1"/>
        </w:numPr>
        <w:spacing w:after="60"/>
      </w:pPr>
      <w:r>
        <w:t xml:space="preserve">B2C — 5 dimensiones Base (50 reactivos sustantivos): 2 reactivos de control (CTRL01, CTRL05). 1 de cada mecanismo (instrucción + trivia), incluso en la batería más corta.</w:t>
      </w:r>
    </w:p>
    <w:p>
      <w:pPr>
        <w:pStyle w:val="ListParagraph"/>
        <w:numPr>
          <w:ilvl w:val="0"/>
          <w:numId w:val="1"/>
        </w:numPr>
        <w:spacing w:after="60"/>
      </w:pPr>
      <w:r>
        <w:t xml:space="preserve">B2B intermedia — Base + algunas Adicionales/Contextuales (51 a 150 reactivos sustantivos): 4 reactivos de control (CTRL01, CTRL02, CTRL05, CTRL06). 2 de cada mecanismo.</w:t>
      </w:r>
    </w:p>
    <w:p>
      <w:pPr>
        <w:pStyle w:val="ListParagraph"/>
        <w:numPr>
          <w:ilvl w:val="0"/>
          <w:numId w:val="1"/>
        </w:numPr>
        <w:spacing w:after="60"/>
      </w:pPr>
      <w:r>
        <w:t xml:space="preserve">B2B completa — 21 dimensiones (151 a 210 reactivos sustantivos): 6 reactivos de control (CTRL01, CTRL02, CTRL03, CTRL04, CTRL05, CTRL06). los 6 controles disponibles (los 4 de instrucción + los 2 de trivia).</w:t>
      </w:r>
    </w:p>
    <w:p>
      <w:pPr>
        <w:spacing w:after="150"/>
      </w:pPr>
      <w:r>
        <w:rPr>
          <w:b/>
          <w:bCs/>
        </w:rPr>
        <w:t xml:space="preserve">[INFERENCIA] </w:t>
      </w:r>
      <w:r>
        <w:t xml:space="preserve"> El mínimo de 2 controles, incluso en la batería B2C más corta (50 reactivos), es necesario para que la regla de invalidación de 5.1 ('fallar 2 o más = invalidación total') sea matemáticamente alcanzable en cualquier batería; con un solo control, jamás podría dispararse el umbral de invalidación total por Azarosidad. Se exige además 1 control de cada mecanismo como mínimo, para que ninguna batería dependa de un solo tipo de control. Los controles se distribuyen a intervalos aproximadamente equidistantes dentro de la secuencia de presentación de esa batería (ni en las primeras ni en las últimas 5 posiciones), siguiendo el mismo algoritmo de armado de secuencia de la Fase 10, Sección 2.2.</w:t>
      </w:r>
    </w:p>
    <w:p>
      <w:pPr>
        <w:spacing w:after="150"/>
      </w:pPr>
      <w:r>
        <w:t xml:space="preserve">El texto completo de las 5 variantes de cada uno de los 6 controles, junto con la escala y el valor de cada opción, está documentado en azarosidad_control_data.json (insumo técnico) y en la hoja 'Azarosidad_Control' de Fase6_Matriz_Scoring.xlsx.</w:t>
      </w:r>
    </w:p>
    <w:p>
      <w:pPr>
        <w:pStyle w:val="Heading3"/>
        <w:spacing w:after="100" w:before="200"/>
      </w:pPr>
      <w:r>
        <w:t xml:space="preserve">5.5 Regla general de invalidación parcial vs. total</w:t>
      </w:r>
    </w:p>
    <w:p>
      <w:pPr>
        <w:spacing w:after="150"/>
      </w:pPr>
      <w:r>
        <w:rPr>
          <w:b/>
          <w:bCs/>
        </w:rPr>
        <w:t xml:space="preserve">[HECHO] </w:t>
      </w:r>
      <w:r>
        <w:t xml:space="preserve"> El instrumento distingue invalidación parcial (una dimensión) de invalidación total (todo el test). George corrigió (2026-09-10, DECISIONS.md punto 23) que ninguna de las dos formas de invalidación debe alterar el número calculado: el Puntaje_dimensión y el IGI se calculan siempre con la fórmula completa, sin excluir ni renormalizar nada. Lo que hace la invalidación no es cambiar el número, sino los términos en que se presenta.</w:t>
      </w:r>
    </w:p>
    <w:p>
      <w:pPr>
        <w:pStyle w:val="ListParagraph"/>
        <w:numPr>
          <w:ilvl w:val="0"/>
          <w:numId w:val="1"/>
        </w:numPr>
        <w:spacing w:after="60"/>
      </w:pPr>
      <w:r>
        <w:t xml:space="preserve">Invalidación parcial: afecta únicamente a la(s) dimensión(es) donde se detectó el problema de validez; esa dimensión sigue mostrando su Puntaje_dimensión real, pero en color gris (en vez de su color de semáforo, Fase 6 Sección 9) y con una advertencia visible de que esa dimensión mostró un patrón de respuesta inconsistente y debe interpretarse con cautela.</w:t>
      </w:r>
    </w:p>
    <w:p>
      <w:pPr>
        <w:pStyle w:val="ListParagraph"/>
        <w:numPr>
          <w:ilvl w:val="0"/>
          <w:numId w:val="1"/>
        </w:numPr>
        <w:spacing w:after="60"/>
      </w:pPr>
      <w:r>
        <w:t xml:space="preserve">Invalidación total: el IGI y todas las dimensiones se siguen mostrando con su valor real, todos en color gris con advertencia, en vez de sus colores de semáforo normales; ocurre cuando 2 o más de los 4 indicadores superan su umbral simultáneamente, o cuando uno solo supera su propio umbral de invalidación total. El objetivo es poder mostrar que la prueba fue manipulada, no ocultar o alterar el dato calculado.</w:t>
      </w:r>
    </w:p>
    <w:p>
      <w:pPr>
        <w:spacing w:after="150"/>
      </w:pPr>
      <w:r>
        <w:rPr>
          <w:b/>
          <w:bCs/>
        </w:rPr>
        <w:t xml:space="preserve">[DESCONOCIDO] </w:t>
      </w:r>
      <w:r>
        <w:t xml:space="preserve"> Los umbrales numéricos exactos de cada regla son valores de partida razonados para el diseño inicial, no estadísticas derivadas de datos reales; deben recalibrarse empíricamente con la muestra piloto (Fase 9) y documentarse en el marco de normas (Fase 8).</w:t>
      </w:r>
    </w:p>
    <w:p>
      <w:pPr>
        <w:pStyle w:val="Heading1"/>
        <w:spacing w:after="200" w:before="400"/>
      </w:pPr>
      <w:r>
        <w:t xml:space="preserve">6. Familias de reactivos y variantes de redacción</w:t>
      </w:r>
    </w:p>
    <w:p>
      <w:pPr>
        <w:spacing w:after="150"/>
      </w:pPr>
      <w:r>
        <w:rPr>
          <w:b/>
          <w:bCs/>
        </w:rPr>
        <w:t xml:space="preserve">[HECHO] </w:t>
      </w:r>
      <w:r>
        <w:t xml:space="preserve"> George pidió (2026-09-09) que cada vez que una persona tome el test, la redacción visible de los reactivos cambie, pero que el constructo, la dimensión, el tipo, la escala y el valor de cada opción se mantengan exactamente iguales, de modo que el test nunca 'se sienta' repetido entre dos aplicaciones distintas, y para reducir el riesgo de que las respuestas 'correctas' se compartan entre personas antes de tomarlo.</w:t>
      </w:r>
    </w:p>
    <w:p>
      <w:pPr>
        <w:spacing w:after="150"/>
      </w:pPr>
      <w:r>
        <w:t xml:space="preserve">Cada uno de los 210 reactivos del banco deja de ser una pregunta única y se convierte en una FAMILIA DE REACTIVO con 5 variantes de redacción (la variante base + 4 adicionales). Las 5 variantes de una misma familia comparten siempre, sin excepción:</w:t>
      </w:r>
    </w:p>
    <w:p>
      <w:pPr>
        <w:pStyle w:val="ListParagraph"/>
        <w:numPr>
          <w:ilvl w:val="0"/>
          <w:numId w:val="1"/>
        </w:numPr>
        <w:spacing w:after="60"/>
      </w:pPr>
      <w:r>
        <w:t xml:space="preserve">La misma dimensión, subdimensión e indicador conductual (Fase 1).</w:t>
      </w:r>
    </w:p>
    <w:p>
      <w:pPr>
        <w:pStyle w:val="ListParagraph"/>
        <w:numPr>
          <w:ilvl w:val="0"/>
          <w:numId w:val="1"/>
        </w:numPr>
        <w:spacing w:after="60"/>
      </w:pPr>
      <w:r>
        <w:t xml:space="preserve">El mismo tipo de reactivo (Sección 1) y el mismo rol en el par espejo, si aplica (Sección 4).</w:t>
      </w:r>
    </w:p>
    <w:p>
      <w:pPr>
        <w:pStyle w:val="ListParagraph"/>
        <w:numPr>
          <w:ilvl w:val="0"/>
          <w:numId w:val="1"/>
        </w:numPr>
        <w:spacing w:after="60"/>
      </w:pPr>
      <w:r>
        <w:t xml:space="preserve">El mismo número de opciones de respuesta y el mismo valor numérico asignado a cada opción.</w:t>
      </w:r>
    </w:p>
    <w:p>
      <w:pPr>
        <w:pStyle w:val="ListParagraph"/>
        <w:numPr>
          <w:ilvl w:val="0"/>
          <w:numId w:val="1"/>
        </w:numPr>
        <w:spacing w:after="60"/>
      </w:pPr>
      <w:r>
        <w:t xml:space="preserve">La misma dirección (directo/inverso, Sección 3).</w:t>
      </w:r>
    </w:p>
    <w:p>
      <w:pPr>
        <w:spacing w:after="150"/>
      </w:pPr>
      <w:r>
        <w:t xml:space="preserve">Lo único que cambia entre variantes es el escenario, el objeto o el grupo de referencia concreto de la pregunta (por ejemplo, para la Dimensión 1 — Robo: 'te encuentras un cheque en un centro comercial' / 'te encuentras un billete de $10 en el trabajo' / 'el cajero del banco te dio de más por error' son 3 variantes de una misma familia). Al aplicar el test, el sistema elige al azar (o rota) una variante por reactivo; el motor de cálculo de la Fase 6 procesa el valor de respuesta exactamente igual sin importar qué variante vio la persona, porque la escala y los valores son idénticos entre variantes.</w:t>
      </w:r>
    </w:p>
    <w:p>
      <w:pPr>
        <w:spacing w:after="150"/>
      </w:pPr>
      <w:r>
        <w:rPr>
          <w:b/>
          <w:bCs/>
        </w:rPr>
        <w:t xml:space="preserve">[HIPÓTESIS] </w:t>
      </w:r>
      <w:r>
        <w:t xml:space="preserve"> Se tratan las 5 variantes de cada familia como psicométricamente equivalentes por diseño (misma dificultad/carga de riesgo esperada). Esto es un supuesto de partida, no un hecho comprobado: la Fase 9 (plan de validación) debe verificar empíricamente, con datos piloto, que las variantes de una misma familia efectivamente se comportan igual (mismo patrón de respuesta agregado); si una variante resulta sistemáticamente 'más fácil' o 'más difícil' que las demás de su familia, debe reescribirse o retirarse del sistema de aleatorización.</w:t>
      </w:r>
    </w:p>
    <w:p>
      <w:pPr>
        <w:spacing w:after="150"/>
      </w:pPr>
      <w:r>
        <w:rPr>
          <w:b/>
          <w:bCs/>
        </w:rPr>
        <w:t xml:space="preserve">[HECHO] </w:t>
      </w:r>
      <w:r>
        <w:t xml:space="preserve"> El sistema debe registrar qué variante vio cada persona en cada reactivo de cada aplicación, precisamente para poder hacer ese análisis de equivalencia en la Fase 9 (es un requisito de implementación técnica, no solo de diseño).</w:t>
      </w:r>
    </w:p>
    <w:p>
      <w:pPr>
        <w:spacing w:after="150"/>
      </w:pPr>
      <w:r>
        <w:t xml:space="preserve">Las 5 variantes de cada uno de los 210 reactivos están documentadas en el banco de reactivos (Fases 3, 4 y 5), dentro del campo 'Variantes de redacción' de cada reactivo.</w:t>
      </w:r>
    </w:p>
    <w:p>
      <w:pPr>
        <w:pStyle w:val="Heading1"/>
        <w:spacing w:after="200" w:before="400"/>
      </w:pPr>
      <w:r>
        <w:t xml:space="preserve">7. Relación con el banco de reactivos (Fases 3 a 5)</w:t>
      </w:r>
    </w:p>
    <w:p>
      <w:pPr>
        <w:spacing w:after="150"/>
      </w:pPr>
      <w:r>
        <w:rPr>
          <w:b/>
          <w:bCs/>
        </w:rPr>
        <w:t xml:space="preserve">[HECHO] </w:t>
      </w:r>
      <w:r>
        <w:t xml:space="preserve"> Cada uno de los 210 reactivos que se redactan en las Fases 3, 4 y 5 declara explícitamente, siguiendo el formato de 16 campos definido por George en el brief original del proyecto, su tipo, su dirección, con qué otro reactivo forma su par espejo, y si es uno de los reactivos de control de Azarosidad. Esta trazabilidad es la que permite construir la matriz de scoring de la Fase 6 sin ambigüedad.</w:t>
      </w:r>
    </w:p>
    <w:p>
      <w:pPr>
        <w:spacing w:after="150"/>
      </w:pPr>
      <w:r>
        <w:rPr>
          <w:b/>
          <w:bCs/>
        </w:rPr>
        <w:t xml:space="preserve">[HECHO] </w:t>
      </w:r>
      <w:r>
        <w:t xml:space="preserve"> Desde la Versión 4, las 9 dimensiones de Factores Contextuales sí tienen par espejo obligatorio (5 pares cada una), igual que las dimensiones Núcleo, conforme a DECISIONS.md punto 28. Esto reemplaza la regla anterior, que las eximía de este requisito.</w:t>
      </w:r>
    </w:p>
    <w:p>
      <w:pPr>
        <w:pStyle w:val="Heading1"/>
        <w:spacing w:after="200" w:before="400"/>
      </w:pPr>
      <w:r>
        <w:t xml:space="preserve">8. Instrucción general de aplicación (personal/laboral e hipotética)</w:t>
      </w:r>
    </w:p>
    <w:p>
      <w:pPr>
        <w:spacing w:after="150"/>
      </w:pPr>
      <w:r>
        <w:rPr>
          <w:b/>
          <w:bCs/>
        </w:rPr>
        <w:t xml:space="preserve">[HECHO] </w:t>
      </w:r>
      <w:r>
        <w:t xml:space="preserve"> George pidió (2026-09-10) que, al inicio de cualquier aplicación del test (web o WhatsApp), se le aclare a la persona que las situaciones descritas en los reactivos pueden corresponder tanto a su vida personal como a su vida laboral, y que debe responder imaginando cómo actuaría aunque la situación exacta no le haya ocurrido — para evitar que bloquee su respuesta pensando 'esto no me ha pasado' en vez de responder su tendencia real de reacción.</w:t>
      </w:r>
    </w:p>
    <w:p>
      <w:pPr>
        <w:spacing w:after="150"/>
      </w:pPr>
      <w:r>
        <w:t xml:space="preserve">Este bloque se muestra una única vez, antes del primer reactivo de cualquier aplicación (gratuita o de pago, web o WhatsApp), y no se repite después dentro de la misma sesión:</w:t>
      </w:r>
    </w:p>
    <w:p>
      <w:pPr>
        <w:spacing w:after="150"/>
        <w:ind w:left="300"/>
      </w:pPr>
      <w:r>
        <w:rPr>
          <w:i/>
          <w:iCs/>
        </w:rPr>
        <w:t xml:space="preserve">“Algunas preguntas describen situaciones que pueden darse tanto en tu vida personal como en tu trabajo. Aunque no te haya pasado exactamente así, respondé imaginando qué harías si estuvieras en esa situación. No hay respuestas correctas o incorrectas: lo importante es tu reacción más sincera.”</w:t>
      </w:r>
      <w:r>
        <w:t xml:space="preserve"/>
      </w:r>
    </w:p>
    <w:p>
      <w:pPr>
        <w:spacing w:after="150"/>
      </w:pPr>
      <w:r>
        <w:rPr>
          <w:b/>
          <w:bCs/>
        </w:rPr>
        <w:t xml:space="preserve">[INFERENCIA] </w:t>
      </w:r>
      <w:r>
        <w:t xml:space="preserve"> Este texto es especialmente relevante para los reactivos de Tipo 3 (Involucramiento pasado) y Tipo 4 (Escenario/dilema, Sección 1), que preguntan por conducta propia directa o hipotética; para los de Tipo 1 (Opinión), Tipo 2 (Percepción de terceros) y Tipo 6 (Intención futura) la aclaración es igualmente válida pero menos crítica, porque no exigen que la situación le haya ocurrido literalmente a la persona.</w:t>
      </w:r>
    </w:p>
    <w:p>
      <w:pPr>
        <w:pStyle w:val="Heading1"/>
        <w:spacing w:after="200" w:before="400"/>
      </w:pPr>
      <w:r>
        <w:t xml:space="preserve">9. Reactivos alternativos de opciones concretas y bio-data (agregado 2026-09-15)</w:t>
      </w:r>
    </w:p>
    <w:p>
      <w:pPr>
        <w:pStyle w:val="Heading3"/>
        <w:spacing w:after="100" w:before="200"/>
      </w:pPr>
      <w:r>
        <w:t xml:space="preserve">9.1 Por qué</w:t>
      </w:r>
    </w:p>
    <w:p>
      <w:pPr>
        <w:spacing w:after="150"/>
      </w:pPr>
      <w:r>
        <w:rPr>
          <w:b/>
          <w:bCs/>
        </w:rPr>
        <w:t xml:space="preserve">[HECHO] </w:t>
      </w:r>
      <w:r>
        <w:t xml:space="preserve"> George señaló (2026-09-15) que la escala 'Totalmente en desacuerdo / En desacuerdo / Algo de acuerdo / De acuerdo / Totalmente de acuerdo' puede resultar confusa para personal de nivel operativo, y pidió explorar reactivos de opciones concretas (como los de una prueba de referencia que compartió) además de, opcionalmente, apoyo visual con íconos/color.</w:t>
      </w:r>
    </w:p>
    <w:p>
      <w:pPr>
        <w:spacing w:after="150"/>
      </w:pPr>
      <w:r>
        <w:rPr>
          <w:b/>
          <w:bCs/>
        </w:rPr>
        <w:t xml:space="preserve">[HECHO] </w:t>
      </w:r>
      <w:r>
        <w:t xml:space="preserve"> Decisión final (2026-09-15): la escala de 5 niveles se conserva tal cual (no se reemplaza por opciones concretas), pero se le agrega ícono y color por opción para reforzar visualmente su significado (ver Fase 8, interfaz de aplicación). Por separado, y sin tocar ningún reactivo existente, se agregan 2 reactivos NUEVOS de formato de opciones concretas por dimensión — el banco crece, no se convierte.</w:t>
      </w:r>
    </w:p>
    <w:p>
      <w:pPr>
        <w:spacing w:after="150"/>
      </w:pPr>
      <w:r>
        <w:rPr>
          <w:b/>
          <w:bCs/>
        </w:rPr>
        <w:t xml:space="preserve">[HECHO] </w:t>
      </w:r>
      <w:r>
        <w:t xml:space="preserve"> George también compartió, como referencia de formato, una extracción de un banco de reactivos de un instrumento comercial de terceros. Siguiendo la misma política ya vigente en este proyecto respecto de AMITAI®, Midot y Kudert (ningún reactivo, ejemplo o regla de este documento reproduce o parafrasea contenido de terceros), ese material se usó ÚNICAMENTE como inspiración de FORMATO (la idea de opciones concretas, preguntas de cultura general como control de atención, y datos biográficos), nunca como fuente de texto: todo el contenido de esta sección es redacción 100% original, construida a partir de los indicadores conductuales ya definidos en la Fase 1 de este instrumento.</w:t>
      </w:r>
    </w:p>
    <w:p>
      <w:pPr>
        <w:pStyle w:val="Heading3"/>
        <w:spacing w:after="100" w:before="200"/>
      </w:pPr>
      <w:r>
        <w:t xml:space="preserve">9.2 Mecanismo: slots duales, pool de 13, selección de 10 por dimensión</w:t>
      </w:r>
    </w:p>
    <w:p>
      <w:pPr>
        <w:spacing w:after="150"/>
      </w:pPr>
      <w:r>
        <w:rPr>
          <w:b/>
          <w:bCs/>
        </w:rPr>
        <w:t xml:space="preserve">[HECHO] </w:t>
      </w:r>
      <w:r>
        <w:t xml:space="preserve"> Para 3 de los 10 reactivos de cada dimensión (op1, op2, perc1) existe una alternativa de opciones concretas (op1_alt, op2_alt, perc1_alt), pensada para reducir la carga de lectura/abstracción de la escala de acuerdo tradicional en respondientes de nivel operativo. Cada alternativa apunta al MISMO indicador conductual y a la MISMA dirección (Directo) que el reactivo clásico al que reemplaza, así que el par espejo y las fórmulas de Fase 6 no cambian.</w:t>
      </w:r>
    </w:p>
    <w:p>
      <w:pPr>
        <w:spacing w:after="150"/>
      </w:pPr>
      <w:r>
        <w:rPr>
          <w:b/>
          <w:bCs/>
        </w:rPr>
        <w:t xml:space="preserve">[INFERENCIA] </w:t>
      </w:r>
      <w:r>
        <w:t xml:space="preserve"> Por dimensión, el pool de reactivos candidatos pasa de 10 a 13 (los 7 reactivos fijos sin alternativa + 3 pares clásico/alternativo). En cada aplicación del test, el motor selecciona 10 reactivos por dimensión: los 7 fijos siempre entran, y para cada uno de los 3 slots duales (op1, op2, perc1) se elige al azar la versión clásica o la alternativa de opciones concretas. El total administrado y puntuado por dimensión sigue siendo exactamente 10, igual que en el resto del banco.</w:t>
      </w:r>
    </w:p>
    <w:p>
      <w:pPr>
        <w:spacing w:after="150"/>
      </w:pPr>
      <w:r>
        <w:rPr>
          <w:b/>
          <w:bCs/>
        </w:rPr>
        <w:t xml:space="preserve">[INFERENCIA] </w:t>
      </w:r>
      <w:r>
        <w:t xml:space="preserve"> Se eligieron op1, op2 y perc1 como los 3 slots duales (y no otros) porque son, de los 10 reactivos de cada dimensión, los que usan la escala de acuerdo abstracta (op1, op2 — Tipo 1, Opinión/Actitud) o una pregunta de estimación (perc1 — Tipo 2, Percepción de terceros), es decir, los formatos donde el reclamo de George sobre claridad aplica con más fuerza; fut1, fut2 (intención futura), pas1, pas2 (involucramiento pasado), esc1, esc2 (escenario/dilema) y perc2 ya usan escalas más concretas por diseño (frecuencia, probabilidad, situación cerrada) y no se duplican.</w:t>
      </w:r>
    </w:p>
    <w:p>
      <w:pPr>
        <w:spacing w:after="150"/>
      </w:pPr>
      <w:r>
        <w:rPr>
          <w:b/>
          <w:bCs/>
        </w:rPr>
        <w:t xml:space="preserve">[HECHO] </w:t>
      </w:r>
      <w:r>
        <w:t xml:space="preserve"> Cada alternativa (op1_alt, op2_alt, perc1_alt) apunta exactamente al mismo indicador conductual, la misma dirección (Directo) y el mismo rol de par espejo que el reactivo clásico al que puede reemplazar, así que el par espejo, la fórmula del PRB y el IGI (Fase 6) no cambian en absoluto: solo cambia, aleatoriamente por aplicación, qué versión (clásica o de opciones concretas) ve la persona en esos 3 de los 10 reactivos.</w:t>
      </w:r>
    </w:p>
    <w:p>
      <w:pPr>
        <w:pStyle w:val="Heading3"/>
        <w:spacing w:after="100" w:before="200"/>
      </w:pPr>
      <w:r>
        <w:t xml:space="preserve">9.3 Ejemplo completo — Dimensión Deudas</w:t>
      </w:r>
    </w:p>
    <w:p>
      <w:pPr>
        <w:spacing w:after="150"/>
      </w:pPr>
      <w:r>
        <w:t xml:space="preserve">Reactivo clásico (op1, ya existente) vs. su alternativa de opciones concretas (op1_alt, nueva), como ejemplo de la equivalencia de constructo entre ambas versiones de un mismo slot:</w:t>
      </w:r>
    </w:p>
    <w:p>
      <w:pPr>
        <w:spacing w:after="150"/>
      </w:pPr>
      <w:r>
        <w:rPr>
          <w:b/>
          <w:bCs/>
        </w:rPr>
        <w:t xml:space="preserve">ALT-DEUDAS-OP1_ALT </w:t>
      </w:r>
      <w:r>
        <w:t xml:space="preserve">(reemplaza opcionalmente a op1, Par 1 (con fut1)) — </w:t>
      </w:r>
      <w:r>
        <w:rPr>
          <w:i/>
          <w:iCs/>
        </w:rPr>
        <w:t xml:space="preserve">Ves algo que realmente te gusta, pero no es algo que necesites, y no tenés el dinero disponible. ¿Qué es lo más parecido a lo que harías?</w:t>
      </w:r>
    </w:p>
    <w:p>
      <w:pPr>
        <w:pStyle w:val="ListParagraph"/>
        <w:numPr>
          <w:ilvl w:val="0"/>
          <w:numId w:val="1"/>
        </w:numPr>
        <w:spacing w:after="60"/>
      </w:pPr>
      <w:r>
        <w:t xml:space="preserve">Esperaría a juntar el dinero o buscaría pagarlo sin financiarlo.  [valor 0]</w:t>
      </w:r>
    </w:p>
    <w:p>
      <w:pPr>
        <w:pStyle w:val="ListParagraph"/>
        <w:numPr>
          <w:ilvl w:val="0"/>
          <w:numId w:val="1"/>
        </w:numPr>
        <w:spacing w:after="60"/>
      </w:pPr>
      <w:r>
        <w:t xml:space="preserve">Vería si puedo pagarlo en partes con lo que ya tengo, sin abrir un crédito nuevo.  [valor 1]</w:t>
      </w:r>
    </w:p>
    <w:p>
      <w:pPr>
        <w:pStyle w:val="ListParagraph"/>
        <w:numPr>
          <w:ilvl w:val="0"/>
          <w:numId w:val="1"/>
        </w:numPr>
        <w:spacing w:after="60"/>
      </w:pPr>
      <w:r>
        <w:t xml:space="preserve">Usaría una tarjeta o crédito que ya tengo, aunque no sea algo esencial.  [valor 2]</w:t>
      </w:r>
    </w:p>
    <w:p>
      <w:pPr>
        <w:pStyle w:val="ListParagraph"/>
        <w:numPr>
          <w:ilvl w:val="0"/>
          <w:numId w:val="1"/>
        </w:numPr>
        <w:spacing w:after="60"/>
      </w:pPr>
      <w:r>
        <w:t xml:space="preserve">Buscaría un crédito nuevo o un préstamo para conseguirlo de inmediato.  [valor 3]</w:t>
      </w:r>
    </w:p>
    <w:p>
      <w:pPr>
        <w:spacing w:after="150"/>
      </w:pPr>
      <w:r>
        <w:rPr>
          <w:b/>
          <w:bCs/>
        </w:rPr>
        <w:t xml:space="preserve">ALT-DEUDAS-OP2_ALT </w:t>
      </w:r>
      <w:r>
        <w:t xml:space="preserve">(reemplaza opcionalmente a op2, Par 3 (con perc1)) — </w:t>
      </w:r>
      <w:r>
        <w:rPr>
          <w:i/>
          <w:iCs/>
        </w:rPr>
        <w:t xml:space="preserve">Tenés varios pagos pendientes este mes y te das cuenta de que vas a tener dificultad para cumplir uno a tiempo. ¿Qué es lo más parecido a lo que pensarías?</w:t>
      </w:r>
    </w:p>
    <w:p>
      <w:pPr>
        <w:pStyle w:val="ListParagraph"/>
        <w:numPr>
          <w:ilvl w:val="0"/>
          <w:numId w:val="1"/>
        </w:numPr>
        <w:spacing w:after="60"/>
      </w:pPr>
      <w:r>
        <w:t xml:space="preserve">Me preocupa, reviso mis gastos y busco ajustar antes de que pase.  [valor 0]</w:t>
      </w:r>
    </w:p>
    <w:p>
      <w:pPr>
        <w:pStyle w:val="ListParagraph"/>
        <w:numPr>
          <w:ilvl w:val="0"/>
          <w:numId w:val="1"/>
        </w:numPr>
        <w:spacing w:after="60"/>
      </w:pPr>
      <w:r>
        <w:t xml:space="preserve">Aviso a quien corresponda y busco una alternativa de pago.  [valor 1]</w:t>
      </w:r>
    </w:p>
    <w:p>
      <w:pPr>
        <w:pStyle w:val="ListParagraph"/>
        <w:numPr>
          <w:ilvl w:val="0"/>
          <w:numId w:val="1"/>
        </w:numPr>
        <w:spacing w:after="60"/>
      </w:pPr>
      <w:r>
        <w:t xml:space="preserve">Pienso que es normal, le pasa a cualquiera, no le doy mucha importancia.  [valor 2]</w:t>
      </w:r>
    </w:p>
    <w:p>
      <w:pPr>
        <w:pStyle w:val="ListParagraph"/>
        <w:numPr>
          <w:ilvl w:val="0"/>
          <w:numId w:val="1"/>
        </w:numPr>
        <w:spacing w:after="60"/>
      </w:pPr>
      <w:r>
        <w:t xml:space="preserve">No me preocupo, ya se resolverá cuando llegue el momento.  [valor 3]</w:t>
      </w:r>
    </w:p>
    <w:p>
      <w:pPr>
        <w:spacing w:after="150"/>
      </w:pPr>
      <w:r>
        <w:rPr>
          <w:b/>
          <w:bCs/>
        </w:rPr>
        <w:t xml:space="preserve">ALT-DEUDAS-PERC1_ALT </w:t>
      </w:r>
      <w:r>
        <w:t xml:space="preserve">(reemplaza opcionalmente a perc1, Par 3 (con op2)) — </w:t>
      </w:r>
      <w:r>
        <w:rPr>
          <w:i/>
          <w:iCs/>
        </w:rPr>
        <w:t xml:space="preserve">¿Qué porcentaje de las personas de tu entorno dirías que tiene dificultad para cumplir con sus compromisos de pago?</w:t>
      </w:r>
    </w:p>
    <w:p>
      <w:pPr>
        <w:pStyle w:val="ListParagraph"/>
        <w:numPr>
          <w:ilvl w:val="0"/>
          <w:numId w:val="1"/>
        </w:numPr>
        <w:spacing w:after="60"/>
      </w:pPr>
      <w:r>
        <w:t xml:space="preserve">Menos del 10%  [valor 0]</w:t>
      </w:r>
    </w:p>
    <w:p>
      <w:pPr>
        <w:pStyle w:val="ListParagraph"/>
        <w:numPr>
          <w:ilvl w:val="0"/>
          <w:numId w:val="1"/>
        </w:numPr>
        <w:spacing w:after="60"/>
      </w:pPr>
      <w:r>
        <w:t xml:space="preserve">Entre 10% y 25%  [valor 1]</w:t>
      </w:r>
    </w:p>
    <w:p>
      <w:pPr>
        <w:pStyle w:val="ListParagraph"/>
        <w:numPr>
          <w:ilvl w:val="0"/>
          <w:numId w:val="1"/>
        </w:numPr>
        <w:spacing w:after="60"/>
      </w:pPr>
      <w:r>
        <w:t xml:space="preserve">Entre 25% y 50%  [valor 2]</w:t>
      </w:r>
    </w:p>
    <w:p>
      <w:pPr>
        <w:pStyle w:val="ListParagraph"/>
        <w:numPr>
          <w:ilvl w:val="0"/>
          <w:numId w:val="1"/>
        </w:numPr>
        <w:spacing w:after="60"/>
      </w:pPr>
      <w:r>
        <w:t xml:space="preserve">Más del 50%  [valor 3]</w:t>
      </w:r>
    </w:p>
    <w:p>
      <w:pPr>
        <w:spacing w:after="150"/>
      </w:pPr>
      <w:r>
        <w:rPr>
          <w:b/>
          <w:bCs/>
        </w:rPr>
        <w:t xml:space="preserve">[HIPÓTESIS] </w:t>
      </w:r>
      <w:r>
        <w:t xml:space="preserve"> El valor numérico de cada opción concreta (0 a 3) se asigna en el mismo sentido de riesgo creciente que la escala clásica (0 = respuesta de menor riesgo, 3 = de mayor riesgo), para que sea comparable con la escala de 5 niveles tras la normalización de la Fase 6; al tener 4 opciones en vez de 5, la normalización usa su propio máximo (3) igual que ya hacen hoy los reactivos Tipo 2 y Tipo 4 del banco clásico.</w:t>
      </w:r>
    </w:p>
    <w:p>
      <w:pPr>
        <w:pStyle w:val="Heading3"/>
        <w:spacing w:after="100" w:before="200"/>
      </w:pPr>
      <w:r>
        <w:t xml:space="preserve">9.4 Tabla resumen — las 21 dimensiones</w:t>
      </w:r>
    </w:p>
    <w:p>
      <w:pPr>
        <w:spacing w:after="150"/>
      </w:pPr>
      <w:r>
        <w:t xml:space="preserve">Situación (enunciado base, variante 1 de 5) de cada una de las 3 alternativas por dimensión; el texto completo de las 5 variantes de cada una, junto con sus opciones y valores, está en reactivos_alternativos_data.json (insumo técnico):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600"/>
        <w:gridCol w:w="3900"/>
        <w:gridCol w:w="3900"/>
      </w:tblGrid>
      <w:tr>
        <w:tc>
          <w:tcPr>
            <w:tcW w:type="dxa" w:w="1600"/>
            <w:shd w:fill="D9D9D9" w:val="clear"/>
          </w:tcPr>
          <w:p>
            <w:r>
              <w:rPr>
                <w:b/>
                <w:bCs/>
              </w:rPr>
              <w:t xml:space="preserve">Dimensión</w:t>
            </w:r>
          </w:p>
        </w:tc>
        <w:tc>
          <w:tcPr>
            <w:tcW w:type="dxa" w:w="3900"/>
            <w:shd w:fill="D9D9D9" w:val="clear"/>
          </w:tcPr>
          <w:p>
            <w:r>
              <w:rPr>
                <w:b/>
                <w:bCs/>
              </w:rPr>
              <w:t xml:space="preserve">op1_alt (situación)</w:t>
            </w:r>
          </w:p>
        </w:tc>
        <w:tc>
          <w:tcPr>
            <w:tcW w:type="dxa" w:w="3900"/>
            <w:shd w:fill="D9D9D9" w:val="clear"/>
          </w:tcPr>
          <w:p>
            <w:r>
              <w:rPr>
                <w:b/>
                <w:bCs/>
              </w:rPr>
              <w:t xml:space="preserve">op2_alt (situación)</w:t>
            </w:r>
          </w:p>
        </w:tc>
      </w:tr>
      <w:tr>
        <w:tc>
          <w:tcPr>
            <w:tcW w:type="dxa" w:w="1600"/>
          </w:tcPr>
          <w:p>
            <w:r>
              <w:rPr>
                <w:b w:val="false"/>
                <w:bCs w:val="false"/>
              </w:rPr>
              <w:t xml:space="preserve">Robo</w:t>
            </w:r>
          </w:p>
        </w:tc>
        <w:tc>
          <w:tcPr>
            <w:tcW w:type="dxa" w:w="3900"/>
          </w:tcPr>
          <w:p>
            <w:r>
              <w:rPr>
                <w:b w:val="false"/>
                <w:bCs w:val="false"/>
              </w:rPr>
              <w:t xml:space="preserve">Ves en tu lugar de trabajo un artículo de poco valor que nadie parece estar usando ni cuidando. ¿Qué es lo más parecido a lo que harías?</w:t>
            </w:r>
          </w:p>
        </w:tc>
        <w:tc>
          <w:tcPr>
            <w:tcW w:type="dxa" w:w="3900"/>
          </w:tcPr>
          <w:p>
            <w:r>
              <w:rPr>
                <w:b w:val="false"/>
                <w:bCs w:val="false"/>
              </w:rPr>
              <w:t xml:space="preserve">Un día llegaste tarde o te fuiste antes de tu trabajo, pero terminaste toda la tarea asignada de todas formas. Al reportar tus horas, ¿qué es lo más parecido a lo que harías?</w:t>
            </w:r>
          </w:p>
        </w:tc>
      </w:tr>
      <w:tr>
        <w:tc>
          <w:tcPr>
            <w:tcW w:type="dxa" w:w="1600"/>
          </w:tcPr>
          <w:p>
            <w:r>
              <w:rPr>
                <w:b w:val="false"/>
                <w:bCs w:val="false"/>
              </w:rPr>
              <w:t xml:space="preserve">Mentira</w:t>
            </w:r>
          </w:p>
        </w:tc>
        <w:tc>
          <w:tcPr>
            <w:tcW w:type="dxa" w:w="3900"/>
          </w:tcPr>
          <w:p>
            <w:r>
              <w:rPr>
                <w:b w:val="false"/>
                <w:bCs w:val="false"/>
              </w:rPr>
              <w:t xml:space="preserve">Cometiste un error en el trabajo y tu jefe te pregunta directamente qué pasó. Contarlo tal cual podría traerte una llamada de atención. ¿Qué es lo más parecido a lo que harías?</w:t>
            </w:r>
          </w:p>
        </w:tc>
        <w:tc>
          <w:tcPr>
            <w:tcW w:type="dxa" w:w="3900"/>
          </w:tcPr>
          <w:p>
            <w:r>
              <w:rPr>
                <w:b w:val="false"/>
                <w:bCs w:val="false"/>
              </w:rPr>
              <w:t xml:space="preserve">Un compañero te pregunta directamente qué opinas de un trabajo suyo que en realidad no te gustó nada. ¿Qué es lo más parecido a lo que harías?</w:t>
            </w:r>
          </w:p>
        </w:tc>
      </w:tr>
      <w:tr>
        <w:tc>
          <w:tcPr>
            <w:tcW w:type="dxa" w:w="1600"/>
          </w:tcPr>
          <w:p>
            <w:r>
              <w:rPr>
                <w:b w:val="false"/>
                <w:bCs w:val="false"/>
              </w:rPr>
              <w:t xml:space="preserve">Fraude</w:t>
            </w:r>
          </w:p>
        </w:tc>
        <w:tc>
          <w:tcPr>
            <w:tcW w:type="dxa" w:w="3900"/>
          </w:tcPr>
          <w:p>
            <w:r>
              <w:rPr>
                <w:b w:val="false"/>
                <w:bCs w:val="false"/>
              </w:rPr>
              <w:t xml:space="preserve">Estás por entregar un reporte y ves que un número quedó un poco peor de lo esperado, aunque nadie lo notaría si lo ajustas levemente. ¿Qué es lo más parecido a lo que harías?</w:t>
            </w:r>
          </w:p>
        </w:tc>
        <w:tc>
          <w:tcPr>
            <w:tcW w:type="dxa" w:w="3900"/>
          </w:tcPr>
          <w:p>
            <w:r>
              <w:rPr>
                <w:b w:val="false"/>
                <w:bCs w:val="false"/>
              </w:rPr>
              <w:t xml:space="preserve">Necesitás un documento o certificado para un trámite legítimo, y el que tenés está un poco desactualizado o no calza exactamente. ¿Qué es lo más parecido a lo que harías?</w:t>
            </w:r>
          </w:p>
        </w:tc>
      </w:tr>
      <w:tr>
        <w:tc>
          <w:tcPr>
            <w:tcW w:type="dxa" w:w="1600"/>
          </w:tcPr>
          <w:p>
            <w:r>
              <w:rPr>
                <w:b w:val="false"/>
                <w:bCs w:val="false"/>
              </w:rPr>
              <w:t xml:space="preserve">Irresponsabilidad</w:t>
            </w:r>
          </w:p>
        </w:tc>
        <w:tc>
          <w:tcPr>
            <w:tcW w:type="dxa" w:w="3900"/>
          </w:tcPr>
          <w:p>
            <w:r>
              <w:rPr>
                <w:b w:val="false"/>
                <w:bCs w:val="false"/>
              </w:rPr>
              <w:t xml:space="preserve">Un proyecto en el que participaste con más personas salió mal, y vos también tuviste algo de responsabilidad en eso. ¿Qué es lo más parecido a lo que harías al hablarlo con el equipo?</w:t>
            </w:r>
          </w:p>
        </w:tc>
        <w:tc>
          <w:tcPr>
            <w:tcW w:type="dxa" w:w="3900"/>
          </w:tcPr>
          <w:p>
            <w:r>
              <w:rPr>
                <w:b w:val="false"/>
                <w:bCs w:val="false"/>
              </w:rPr>
              <w:t xml:space="preserve">Te diste cuenta de que cometiste un error en una tarea, ya corregido, sin mayores consecuencias visibles. ¿Qué es lo más parecido a lo que harías?</w:t>
            </w:r>
          </w:p>
        </w:tc>
      </w:tr>
      <w:tr>
        <w:tc>
          <w:tcPr>
            <w:tcW w:type="dxa" w:w="1600"/>
          </w:tcPr>
          <w:p>
            <w:r>
              <w:rPr>
                <w:b w:val="false"/>
                <w:bCs w:val="false"/>
              </w:rPr>
              <w:t xml:space="preserve">Soborno</w:t>
            </w:r>
          </w:p>
        </w:tc>
        <w:tc>
          <w:tcPr>
            <w:tcW w:type="dxa" w:w="3900"/>
          </w:tcPr>
          <w:p>
            <w:r>
              <w:rPr>
                <w:b w:val="false"/>
                <w:bCs w:val="false"/>
              </w:rPr>
              <w:t xml:space="preserve">Una persona con la que vas a tomar una decisión importante te ofrece un regalo o una atención de bajo valor, sin pedir nada a cambio de forma explícita. ¿Qué es lo más parecido a lo que harías?</w:t>
            </w:r>
          </w:p>
        </w:tc>
        <w:tc>
          <w:tcPr>
            <w:tcW w:type="dxa" w:w="3900"/>
          </w:tcPr>
          <w:p>
            <w:r>
              <w:rPr>
                <w:b w:val="false"/>
                <w:bCs w:val="false"/>
              </w:rPr>
              <w:t xml:space="preserve">Estás por presentar una propuesta a alguien que toma una decisión importante para vos o tu empresa. ¿Qué es lo más parecido a lo que harías para aumentar tus chances?</w:t>
            </w:r>
          </w:p>
        </w:tc>
      </w:tr>
      <w:tr>
        <w:tc>
          <w:tcPr>
            <w:tcW w:type="dxa" w:w="1600"/>
          </w:tcPr>
          <w:p>
            <w:r>
              <w:rPr>
                <w:b w:val="false"/>
                <w:bCs w:val="false"/>
              </w:rPr>
              <w:t xml:space="preserve">Deslealtad</w:t>
            </w:r>
          </w:p>
        </w:tc>
        <w:tc>
          <w:tcPr>
            <w:tcW w:type="dxa" w:w="3900"/>
          </w:tcPr>
          <w:p>
            <w:r>
              <w:rPr>
                <w:b w:val="false"/>
                <w:bCs w:val="false"/>
              </w:rPr>
              <w:t xml:space="preserve">Tuviste una mala experiencia en tu trabajo (un trato injusto, un conflicto sin resolver) y alguien externo a la empresa te pregunta con curiosidad detalles internos. ¿Qué es lo más parecido a lo que harías?</w:t>
            </w:r>
          </w:p>
        </w:tc>
        <w:tc>
          <w:tcPr>
            <w:tcW w:type="dxa" w:w="3900"/>
          </w:tcPr>
          <w:p>
            <w:r>
              <w:rPr>
                <w:b w:val="false"/>
                <w:bCs w:val="false"/>
              </w:rPr>
              <w:t xml:space="preserve">Te surge la oportunidad de hacer un trabajo remunerado, de forma discreta, para un competidor directo de tu empleador actual, mientras seguís empleado ahí. ¿Qué es lo más parecido a lo que harías?</w:t>
            </w:r>
          </w:p>
        </w:tc>
      </w:tr>
      <w:tr>
        <w:tc>
          <w:tcPr>
            <w:tcW w:type="dxa" w:w="1600"/>
          </w:tcPr>
          <w:p>
            <w:r>
              <w:rPr>
                <w:b w:val="false"/>
                <w:bCs w:val="false"/>
              </w:rPr>
              <w:t xml:space="preserve">Favoritismo</w:t>
            </w:r>
          </w:p>
        </w:tc>
        <w:tc>
          <w:tcPr>
            <w:tcW w:type="dxa" w:w="3900"/>
          </w:tcPr>
          <w:p>
            <w:r>
              <w:rPr>
                <w:b w:val="false"/>
                <w:bCs w:val="false"/>
              </w:rPr>
              <w:t xml:space="preserve">Tenés que elegir entre dos personas igual de capaces para una oportunidad (un ascenso, un proyecto, un puesto), y una de ellas es alguien cercano tuyo. ¿Qué es lo más parecido a lo que harías?</w:t>
            </w:r>
          </w:p>
        </w:tc>
        <w:tc>
          <w:tcPr>
            <w:tcW w:type="dxa" w:w="3900"/>
          </w:tcPr>
          <w:p>
            <w:r>
              <w:rPr>
                <w:b w:val="false"/>
                <w:bCs w:val="false"/>
              </w:rPr>
              <w:t xml:space="preserve">Vas a participar en una decisión donde una de las opciones involucra a alguien cercano tuyo (familiar, amigo, ex-pareja), y confiás en que de todas formas vas a decidir de forma justa. ¿Qué es lo más parecido a lo que harías?</w:t>
            </w:r>
          </w:p>
        </w:tc>
      </w:tr>
      <w:tr>
        <w:tc>
          <w:tcPr>
            <w:tcW w:type="dxa" w:w="1600"/>
          </w:tcPr>
          <w:p>
            <w:r>
              <w:rPr>
                <w:b w:val="false"/>
                <w:bCs w:val="false"/>
              </w:rPr>
              <w:t xml:space="preserve">Abuso de Recursos</w:t>
            </w:r>
          </w:p>
        </w:tc>
        <w:tc>
          <w:tcPr>
            <w:tcW w:type="dxa" w:w="3900"/>
          </w:tcPr>
          <w:p>
            <w:r>
              <w:rPr>
                <w:b w:val="false"/>
                <w:bCs w:val="false"/>
              </w:rPr>
              <w:t xml:space="preserve">Estás en tu horario laboral y tenés un asunto personal breve que podrías resolver usando el equipo o el tiempo del trabajo (una llamada, una impresión, un trámite en línea). ¿Qué es lo más parecido a lo que harías?</w:t>
            </w:r>
          </w:p>
        </w:tc>
        <w:tc>
          <w:tcPr>
            <w:tcW w:type="dxa" w:w="3900"/>
          </w:tcPr>
          <w:p>
            <w:r>
              <w:rPr>
                <w:b w:val="false"/>
                <w:bCs w:val="false"/>
              </w:rPr>
              <w:t xml:space="preserve">Te das cuenta de que varios compañeros usan regularmente recursos del trabajo (materiales, tiempo, equipo) para asuntos personales. ¿Qué es lo más parecido a lo que harías vos?</w:t>
            </w:r>
          </w:p>
        </w:tc>
      </w:tr>
      <w:tr>
        <w:tc>
          <w:tcPr>
            <w:tcW w:type="dxa" w:w="1600"/>
          </w:tcPr>
          <w:p>
            <w:r>
              <w:rPr>
                <w:b w:val="false"/>
                <w:bCs w:val="false"/>
              </w:rPr>
              <w:t xml:space="preserve">Acoso Sexual</w:t>
            </w:r>
          </w:p>
        </w:tc>
        <w:tc>
          <w:tcPr>
            <w:tcW w:type="dxa" w:w="3900"/>
          </w:tcPr>
          <w:p>
            <w:r>
              <w:rPr>
                <w:b w:val="false"/>
                <w:bCs w:val="false"/>
              </w:rPr>
              <w:t xml:space="preserve">Escuchás que un compañero le hace un comentario de contenido sexual a otra persona en el trabajo, y quien lo dijo parece no tener mala intención. ¿Qué es lo más parecido a lo que harías?</w:t>
            </w:r>
          </w:p>
        </w:tc>
        <w:tc>
          <w:tcPr>
            <w:tcW w:type="dxa" w:w="3900"/>
          </w:tcPr>
          <w:p>
            <w:r>
              <w:rPr>
                <w:b w:val="false"/>
                <w:bCs w:val="false"/>
              </w:rPr>
              <w:t xml:space="preserve">Notás que alguien con poder de decisión sobre tu situación laboral empieza a mezclar comentarios de tipo personal o afectivo con temas de trabajo, sin decir nada explícito. ¿Qué es lo más parecido a lo que harías?</w:t>
            </w:r>
          </w:p>
        </w:tc>
      </w:tr>
      <w:tr>
        <w:tc>
          <w:tcPr>
            <w:tcW w:type="dxa" w:w="1600"/>
          </w:tcPr>
          <w:p>
            <w:r>
              <w:rPr>
                <w:b w:val="false"/>
                <w:bCs w:val="false"/>
              </w:rPr>
              <w:t xml:space="preserve">Maltrato Laboral</w:t>
            </w:r>
          </w:p>
        </w:tc>
        <w:tc>
          <w:tcPr>
            <w:tcW w:type="dxa" w:w="3900"/>
          </w:tcPr>
          <w:p>
            <w:r>
              <w:rPr>
                <w:b w:val="false"/>
                <w:bCs w:val="false"/>
              </w:rPr>
              <w:t xml:space="preserve">Un miembro de tu equipo cometió un error importante frente a otras personas y necesitás que quede muy claro que debe mejorar. ¿Qué es lo más parecido a lo que harías?</w:t>
            </w:r>
          </w:p>
        </w:tc>
        <w:tc>
          <w:tcPr>
            <w:tcW w:type="dxa" w:w="3900"/>
          </w:tcPr>
          <w:p>
            <w:r>
              <w:rPr>
                <w:b w:val="false"/>
                <w:bCs w:val="false"/>
              </w:rPr>
              <w:t xml:space="preserve">Estás a cargo de un equipo que necesita mejorar su desempeño de forma notoria. ¿Qué es lo más parecido al estilo que usarías?</w:t>
            </w:r>
          </w:p>
        </w:tc>
      </w:tr>
      <w:tr>
        <w:tc>
          <w:tcPr>
            <w:tcW w:type="dxa" w:w="1600"/>
          </w:tcPr>
          <w:p>
            <w:r>
              <w:rPr>
                <w:b w:val="false"/>
                <w:bCs w:val="false"/>
              </w:rPr>
              <w:t xml:space="preserve">Discriminación</w:t>
            </w:r>
          </w:p>
        </w:tc>
        <w:tc>
          <w:tcPr>
            <w:tcW w:type="dxa" w:w="3900"/>
          </w:tcPr>
          <w:p>
            <w:r>
              <w:rPr>
                <w:b w:val="false"/>
                <w:bCs w:val="false"/>
              </w:rPr>
              <w:t xml:space="preserve">Vas a formar un equipo de trabajo y, entre varias personas igual de calificadas, una tiene características personales (edad, apariencia, religión, género) distintas a las que vos preferirías tener cerca, aunque eso no afecta su desempeño. ¿Qué es lo más parecido a lo que harías?</w:t>
            </w:r>
          </w:p>
        </w:tc>
        <w:tc>
          <w:tcPr>
            <w:tcW w:type="dxa" w:w="3900"/>
          </w:tcPr>
          <w:p>
            <w:r>
              <w:rPr>
                <w:b w:val="false"/>
                <w:bCs w:val="false"/>
              </w:rPr>
              <w:t xml:space="preserve">Te das cuenta de que, sin proponértelo, tratás distinto a dos personas de tu equipo por su género, edad o apariencia, aunque no lo hayas hecho a propósito. ¿Qué es lo más parecido a lo que harías al notarlo?</w:t>
            </w:r>
          </w:p>
        </w:tc>
      </w:tr>
      <w:tr>
        <w:tc>
          <w:tcPr>
            <w:tcW w:type="dxa" w:w="1600"/>
          </w:tcPr>
          <w:p>
            <w:r>
              <w:rPr>
                <w:b w:val="false"/>
                <w:bCs w:val="false"/>
              </w:rPr>
              <w:t xml:space="preserve">Asociación Criminal</w:t>
            </w:r>
          </w:p>
        </w:tc>
        <w:tc>
          <w:tcPr>
            <w:tcW w:type="dxa" w:w="3900"/>
          </w:tcPr>
          <w:p>
            <w:r>
              <w:rPr>
                <w:b w:val="false"/>
                <w:bCs w:val="false"/>
              </w:rPr>
              <w:t xml:space="preserve">Un amigo cercano tuyo está, con certeza, involucrado en actividades delictivas, aunque nunca te ha pedido que participes en nada. ¿Qué es lo más parecido a lo que harías con esa amistad?</w:t>
            </w:r>
          </w:p>
        </w:tc>
        <w:tc>
          <w:tcPr>
            <w:tcW w:type="dxa" w:w="3900"/>
          </w:tcPr>
          <w:p>
            <w:r>
              <w:rPr>
                <w:b w:val="false"/>
                <w:bCs w:val="false"/>
              </w:rPr>
              <w:t xml:space="preserve">Estás evaluando si seguir frecuentando a alguien cercano que, sabés, está vinculado a actividades delictivas. ¿Qué tan probable creés que es que esa cercanía te traiga problemas a vos, aunque nunca participes en nada?</w:t>
            </w:r>
          </w:p>
        </w:tc>
      </w:tr>
      <w:tr>
        <w:tc>
          <w:tcPr>
            <w:tcW w:type="dxa" w:w="1600"/>
          </w:tcPr>
          <w:p>
            <w:r>
              <w:rPr>
                <w:b w:val="false"/>
                <w:bCs w:val="false"/>
              </w:rPr>
              <w:t xml:space="preserve">Sustancias Lícitas</w:t>
            </w:r>
          </w:p>
        </w:tc>
        <w:tc>
          <w:tcPr>
            <w:tcW w:type="dxa" w:w="3900"/>
          </w:tcPr>
          <w:p>
            <w:r>
              <w:rPr>
                <w:b w:val="false"/>
                <w:bCs w:val="false"/>
              </w:rPr>
              <w:t xml:space="preserve">Tenés un evento social o de trabajo donde hay alcohol disponible. ¿Qué es lo más parecido a lo que harías con el consumo?</w:t>
            </w:r>
          </w:p>
        </w:tc>
        <w:tc>
          <w:tcPr>
            <w:tcW w:type="dxa" w:w="3900"/>
          </w:tcPr>
          <w:p>
            <w:r>
              <w:rPr>
                <w:b w:val="false"/>
                <w:bCs w:val="false"/>
              </w:rPr>
              <w:t xml:space="preserve">Tuviste una semana particularmente estresante en el trabajo. ¿Qué es lo más parecido a lo que harías para manejarlo?</w:t>
            </w:r>
          </w:p>
        </w:tc>
      </w:tr>
      <w:tr>
        <w:tc>
          <w:tcPr>
            <w:tcW w:type="dxa" w:w="1600"/>
          </w:tcPr>
          <w:p>
            <w:r>
              <w:rPr>
                <w:b w:val="false"/>
                <w:bCs w:val="false"/>
              </w:rPr>
              <w:t xml:space="preserve">Sustancias Ilícitas</w:t>
            </w:r>
          </w:p>
        </w:tc>
        <w:tc>
          <w:tcPr>
            <w:tcW w:type="dxa" w:w="3900"/>
          </w:tcPr>
          <w:p>
            <w:r>
              <w:rPr>
                <w:b w:val="false"/>
                <w:bCs w:val="false"/>
              </w:rPr>
              <w:t xml:space="preserve">Estás en un ambiente social donde te ofrecen consumir una sustancia no permitida por la ley, de forma recreativa y ocasional. ¿Qué es lo más parecido a lo que harías?</w:t>
            </w:r>
          </w:p>
        </w:tc>
        <w:tc>
          <w:tcPr>
            <w:tcW w:type="dxa" w:w="3900"/>
          </w:tcPr>
          <w:p>
            <w:r>
              <w:rPr>
                <w:b w:val="false"/>
                <w:bCs w:val="false"/>
              </w:rPr>
              <w:t xml:space="preserve">Tenés una jornada de trabajo por delante y la posibilidad de consumir, antes de empezar, una sustancia no permitida por la ley. ¿Qué es lo más parecido a lo que harías?</w:t>
            </w:r>
          </w:p>
        </w:tc>
      </w:tr>
      <w:tr>
        <w:tc>
          <w:tcPr>
            <w:tcW w:type="dxa" w:w="1600"/>
          </w:tcPr>
          <w:p>
            <w:r>
              <w:rPr>
                <w:b w:val="false"/>
                <w:bCs w:val="false"/>
              </w:rPr>
              <w:t xml:space="preserve">Incumplimiento de Normas</w:t>
            </w:r>
          </w:p>
        </w:tc>
        <w:tc>
          <w:tcPr>
            <w:tcW w:type="dxa" w:w="3900"/>
          </w:tcPr>
          <w:p>
            <w:r>
              <w:rPr>
                <w:b w:val="false"/>
                <w:bCs w:val="false"/>
              </w:rPr>
              <w:t xml:space="preserve">Seguir una regla o procedimiento de tu trabajo en un momento puntual te resultaría bastante inconveniente, y es poco probable que alguien se entere si no la seguís. ¿Qué es lo más parecido a lo que harías?</w:t>
            </w:r>
          </w:p>
        </w:tc>
        <w:tc>
          <w:tcPr>
            <w:tcW w:type="dxa" w:w="3900"/>
          </w:tcPr>
          <w:p>
            <w:r>
              <w:rPr>
                <w:b w:val="false"/>
                <w:bCs w:val="false"/>
              </w:rPr>
              <w:t xml:space="preserve">Te encontrás una norma o procedimiento de tu trabajo que te parece más bien una formalidad, sin mucho sentido práctico en el día a día. ¿Qué es lo más parecido a lo que harías?</w:t>
            </w:r>
          </w:p>
        </w:tc>
      </w:tr>
      <w:tr>
        <w:tc>
          <w:tcPr>
            <w:tcW w:type="dxa" w:w="1600"/>
          </w:tcPr>
          <w:p>
            <w:r>
              <w:rPr>
                <w:b w:val="false"/>
                <w:bCs w:val="false"/>
              </w:rPr>
              <w:t xml:space="preserve">Deudas</w:t>
            </w:r>
          </w:p>
        </w:tc>
        <w:tc>
          <w:tcPr>
            <w:tcW w:type="dxa" w:w="3900"/>
          </w:tcPr>
          <w:p>
            <w:r>
              <w:rPr>
                <w:b w:val="false"/>
                <w:bCs w:val="false"/>
              </w:rPr>
              <w:t xml:space="preserve">Ves algo que realmente te gusta, pero no es algo que necesites, y no tenés el dinero disponible. ¿Qué es lo más parecido a lo que harías?</w:t>
            </w:r>
          </w:p>
        </w:tc>
        <w:tc>
          <w:tcPr>
            <w:tcW w:type="dxa" w:w="3900"/>
          </w:tcPr>
          <w:p>
            <w:r>
              <w:rPr>
                <w:b w:val="false"/>
                <w:bCs w:val="false"/>
              </w:rPr>
              <w:t xml:space="preserve">Tenés varios pagos pendientes este mes y te das cuenta de que vas a tener dificultad para cumplir uno a tiempo. ¿Qué es lo más parecido a lo que pensarías?</w:t>
            </w:r>
          </w:p>
        </w:tc>
      </w:tr>
      <w:tr>
        <w:tc>
          <w:tcPr>
            <w:tcW w:type="dxa" w:w="1600"/>
          </w:tcPr>
          <w:p>
            <w:r>
              <w:rPr>
                <w:b w:val="false"/>
                <w:bCs w:val="false"/>
              </w:rPr>
              <w:t xml:space="preserve">Impulsividad</w:t>
            </w:r>
          </w:p>
        </w:tc>
        <w:tc>
          <w:tcPr>
            <w:tcW w:type="dxa" w:w="3900"/>
          </w:tcPr>
          <w:p>
            <w:r>
              <w:rPr>
                <w:b w:val="false"/>
                <w:bCs w:val="false"/>
              </w:rPr>
              <w:t xml:space="preserve">Te surge una decisión que te atrae mucho en el momento (una compra, un cambio, una oportunidad), pero no has tenido tiempo de pensarla del todo. ¿Qué es lo más parecido a lo que harías?</w:t>
            </w:r>
          </w:p>
        </w:tc>
        <w:tc>
          <w:tcPr>
            <w:tcW w:type="dxa" w:w="3900"/>
          </w:tcPr>
          <w:p>
            <w:r>
              <w:rPr>
                <w:b w:val="false"/>
                <w:bCs w:val="false"/>
              </w:rPr>
              <w:t xml:space="preserve">Tenés que tomar una decisión con cierta urgencia, pero sin toda la información que te gustaría tener. ¿Qué es lo más parecido a lo que harías?</w:t>
            </w:r>
          </w:p>
        </w:tc>
      </w:tr>
      <w:tr>
        <w:tc>
          <w:tcPr>
            <w:tcW w:type="dxa" w:w="1600"/>
          </w:tcPr>
          <w:p>
            <w:r>
              <w:rPr>
                <w:b w:val="false"/>
                <w:bCs w:val="false"/>
              </w:rPr>
              <w:t xml:space="preserve">Violencia</w:t>
            </w:r>
          </w:p>
        </w:tc>
        <w:tc>
          <w:tcPr>
            <w:tcW w:type="dxa" w:w="3900"/>
          </w:tcPr>
          <w:p>
            <w:r>
              <w:rPr>
                <w:b w:val="false"/>
                <w:bCs w:val="false"/>
              </w:rPr>
              <w:t xml:space="preserve">Alguien te provoca fuertemente en una discusión, con la intención clara de hacerte perder la calma. ¿Qué es lo más parecido a lo que harías?</w:t>
            </w:r>
          </w:p>
        </w:tc>
        <w:tc>
          <w:tcPr>
            <w:tcW w:type="dxa" w:w="3900"/>
          </w:tcPr>
          <w:p>
            <w:r>
              <w:rPr>
                <w:b w:val="false"/>
                <w:bCs w:val="false"/>
              </w:rPr>
              <w:t xml:space="preserve">Tenés un conflicto serio con alguien y sentís que necesitás que entienda tu punto de una vez. ¿Qué es lo más parecido a lo que harías?</w:t>
            </w:r>
          </w:p>
        </w:tc>
      </w:tr>
      <w:tr>
        <w:tc>
          <w:tcPr>
            <w:tcW w:type="dxa" w:w="1600"/>
          </w:tcPr>
          <w:p>
            <w:r>
              <w:rPr>
                <w:b w:val="false"/>
                <w:bCs w:val="false"/>
              </w:rPr>
              <w:t xml:space="preserve">Ludopatía</w:t>
            </w:r>
          </w:p>
        </w:tc>
        <w:tc>
          <w:tcPr>
            <w:tcW w:type="dxa" w:w="3900"/>
          </w:tcPr>
          <w:p>
            <w:r>
              <w:rPr>
                <w:b w:val="false"/>
                <w:bCs w:val="false"/>
              </w:rPr>
              <w:t xml:space="preserve">Te gusta apostar de vez en cuando (lotería, casino, apuestas deportivas, etc.), y siempre has podido cubrir lo que perdés. ¿Qué es lo más parecido a la frecuencia con la que lo harías?</w:t>
            </w:r>
          </w:p>
        </w:tc>
        <w:tc>
          <w:tcPr>
            <w:tcW w:type="dxa" w:w="3900"/>
          </w:tcPr>
          <w:p>
            <w:r>
              <w:rPr>
                <w:b w:val="false"/>
                <w:bCs w:val="false"/>
              </w:rPr>
              <w:t xml:space="preserve">Se presenta una oportunidad de apuesta que te parece muy buena, pero el dinero disponible en ese momento estaba destinado a otro gasto. ¿Qué es lo más parecido a lo que harías?</w:t>
            </w:r>
          </w:p>
        </w:tc>
      </w:tr>
      <w:tr>
        <w:tc>
          <w:tcPr>
            <w:tcW w:type="dxa" w:w="1600"/>
          </w:tcPr>
          <w:p>
            <w:r>
              <w:rPr>
                <w:b w:val="false"/>
                <w:bCs w:val="false"/>
              </w:rPr>
              <w:t xml:space="preserve">Egoísmo</w:t>
            </w:r>
          </w:p>
        </w:tc>
        <w:tc>
          <w:tcPr>
            <w:tcW w:type="dxa" w:w="3900"/>
          </w:tcPr>
          <w:p>
            <w:r>
              <w:rPr>
                <w:b w:val="false"/>
                <w:bCs w:val="false"/>
              </w:rPr>
              <w:t xml:space="preserve">Estás en una situación donde podés tomar una decisión que te beneficia claramente a vos, aunque eso implique un costo menor para el grupo o equipo. ¿Qué es lo más parecido a lo que harías?</w:t>
            </w:r>
          </w:p>
        </w:tc>
        <w:tc>
          <w:tcPr>
            <w:tcW w:type="dxa" w:w="3900"/>
          </w:tcPr>
          <w:p>
            <w:r>
              <w:rPr>
                <w:b w:val="false"/>
                <w:bCs w:val="false"/>
              </w:rPr>
              <w:t xml:space="preserve">Tomaste una decisión que te convenía, y después te enteraste de que afectó de alguna forma a otra persona de tu entorno. ¿Qué es lo más parecido a lo que pensarías?</w:t>
            </w:r>
          </w:p>
        </w:tc>
      </w:tr>
      <w:tr>
        <w:tc>
          <w:tcPr>
            <w:tcW w:type="dxa" w:w="1600"/>
          </w:tcPr>
          <w:p>
            <w:r>
              <w:rPr>
                <w:b w:val="false"/>
                <w:bCs w:val="false"/>
              </w:rPr>
              <w:t xml:space="preserve">Impunidad</w:t>
            </w:r>
          </w:p>
        </w:tc>
        <w:tc>
          <w:tcPr>
            <w:tcW w:type="dxa" w:w="3900"/>
          </w:tcPr>
          <w:p>
            <w:r>
              <w:rPr>
                <w:b w:val="false"/>
                <w:bCs w:val="false"/>
              </w:rPr>
              <w:t xml:space="preserve">Estás considerando una conducta que sabés que no está bien, pero creés que, si actuás con cuidado, es poco probable que alguien se entere. ¿Qué tan probable creés que sería que la hicieras?</w:t>
            </w:r>
          </w:p>
        </w:tc>
        <w:tc>
          <w:tcPr>
            <w:tcW w:type="dxa" w:w="3900"/>
          </w:tcPr>
          <w:p>
            <w:r>
              <w:rPr>
                <w:b w:val="false"/>
                <w:bCs w:val="false"/>
              </w:rPr>
              <w:t xml:space="preserve">Sabés que tu lugar de trabajo tiene sistemas de control o supervisión, pero también sentís que en la práctica no son muy efectivos. ¿Qué es lo más parecido a cómo eso influye en tus decisiones?</w:t>
            </w:r>
          </w:p>
        </w:tc>
      </w:tr>
    </w:tbl>
    <w:p>
      <w:pPr>
        <w:spacing w:after="100"/>
      </w:pPr>
      <w:r>
        <w:t xml:space="preserve"/>
      </w:r>
    </w:p>
    <w:p>
      <w:pPr>
        <w:spacing w:after="150"/>
      </w:pPr>
      <w:r>
        <w:rPr>
          <w:b/>
          <w:bCs/>
        </w:rPr>
        <w:t xml:space="preserve">[HECHO] </w:t>
      </w:r>
      <w:r>
        <w:t xml:space="preserve"> perc1_alt no se lista en la tabla anterior porque su enunciado es el mismo formato de estimación por porcentaje en las 21 dimensiones (solo cambia el objeto de la pregunta): '¿Qué porcentaje de las personas de tu entorno dirías que...?', con las opciones fijas Menos del 10% / Entre 10% y 25% / Entre 25% y 50% / Más del 50% — el enunciado completo de las 21 está también en reactivos_alternativos_data.json.</w:t>
      </w:r>
    </w:p>
    <w:p>
      <w:pPr>
        <w:pStyle w:val="Heading3"/>
        <w:spacing w:after="100" w:before="200"/>
      </w:pPr>
      <w:r>
        <w:t xml:space="preserve">9.5 Bio-data (bloque transversal, no puntúa)</w:t>
      </w:r>
    </w:p>
    <w:p>
      <w:pPr>
        <w:spacing w:after="150"/>
      </w:pPr>
      <w:r>
        <w:rPr>
          <w:b/>
          <w:bCs/>
        </w:rPr>
        <w:t xml:space="preserve">[HECHO] </w:t>
      </w:r>
      <w:r>
        <w:t xml:space="preserve"> Bloque transversal de 6 reactivos factuales/demográficos, contenido original. NO es una dimensión, no entra al IGI ni a ninguna Puntaje_dimensión, no tiene variantes de redacción (no son reactivos de riesgo). Se presenta junto con las variables demográficas ya existentes (Fase 8 Sección 5.4, Fase 10 Sección 2.1: edad, género, educación, industria, país), como contexto adicional opcional para análisis posterior — por ejemplo, correlacionar antigüedad laboral o número de empleos con el IGI en la Fase 9, una vez exista muestra piloto.</w:t>
      </w:r>
    </w:p>
    <w:p>
      <w:pPr>
        <w:spacing w:after="150"/>
      </w:pPr>
      <w:r>
        <w:rPr>
          <w:b/>
          <w:bCs/>
        </w:rPr>
        <w:t xml:space="preserve">[HECHO] </w:t>
      </w:r>
      <w:r>
        <w:t xml:space="preserve"> Igual que el resto de variables demográficas (Fase 8 Sección 5.4), estas 6 preguntas se presentan como opcionales, nunca como requisito para ver el resultado, con lenguaje que explica brevemente por qué se piden (mejorar el instrumento).</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3200"/>
        <w:gridCol w:w="5900"/>
      </w:tblGrid>
      <w:tr>
        <w:tc>
          <w:tcPr>
            <w:tcW w:type="dxa" w:w="900"/>
            <w:shd w:fill="D9D9D9" w:val="clear"/>
          </w:tcPr>
          <w:p>
            <w:r>
              <w:rPr>
                <w:b/>
                <w:bCs/>
              </w:rPr>
              <w:t xml:space="preserve">ID</w:t>
            </w:r>
          </w:p>
        </w:tc>
        <w:tc>
          <w:tcPr>
            <w:tcW w:type="dxa" w:w="3200"/>
            <w:shd w:fill="D9D9D9" w:val="clear"/>
          </w:tcPr>
          <w:p>
            <w:r>
              <w:rPr>
                <w:b/>
                <w:bCs/>
              </w:rPr>
              <w:t xml:space="preserve">Campo</w:t>
            </w:r>
          </w:p>
        </w:tc>
        <w:tc>
          <w:tcPr>
            <w:tcW w:type="dxa" w:w="5900"/>
            <w:shd w:fill="D9D9D9" w:val="clear"/>
          </w:tcPr>
          <w:p>
            <w:r>
              <w:rPr>
                <w:b/>
                <w:bCs/>
              </w:rPr>
              <w:t xml:space="preserve">Opciones</w:t>
            </w:r>
          </w:p>
        </w:tc>
      </w:tr>
      <w:tr>
        <w:tc>
          <w:tcPr>
            <w:tcW w:type="dxa" w:w="900"/>
          </w:tcPr>
          <w:p>
            <w:r>
              <w:rPr>
                <w:b w:val="false"/>
                <w:bCs w:val="false"/>
              </w:rPr>
              <w:t xml:space="preserve">BIO01</w:t>
            </w:r>
          </w:p>
        </w:tc>
        <w:tc>
          <w:tcPr>
            <w:tcW w:type="dxa" w:w="3200"/>
          </w:tcPr>
          <w:p>
            <w:r>
              <w:rPr>
                <w:b w:val="false"/>
                <w:bCs w:val="false"/>
              </w:rPr>
              <w:t xml:space="preserve">Nivel de estudios alcanzado</w:t>
            </w:r>
          </w:p>
        </w:tc>
        <w:tc>
          <w:tcPr>
            <w:tcW w:type="dxa" w:w="5900"/>
          </w:tcPr>
          <w:p>
            <w:r>
              <w:rPr>
                <w:b w:val="false"/>
                <w:bCs w:val="false"/>
              </w:rPr>
              <w:t xml:space="preserve">Primaria / Secundaria / Técnico o carrera corta / Universidad / Posgrado</w:t>
            </w:r>
          </w:p>
        </w:tc>
      </w:tr>
      <w:tr>
        <w:tc>
          <w:tcPr>
            <w:tcW w:type="dxa" w:w="900"/>
          </w:tcPr>
          <w:p>
            <w:r>
              <w:rPr>
                <w:b w:val="false"/>
                <w:bCs w:val="false"/>
              </w:rPr>
              <w:t xml:space="preserve">BIO02</w:t>
            </w:r>
          </w:p>
        </w:tc>
        <w:tc>
          <w:tcPr>
            <w:tcW w:type="dxa" w:w="3200"/>
          </w:tcPr>
          <w:p>
            <w:r>
              <w:rPr>
                <w:b w:val="false"/>
                <w:bCs w:val="false"/>
              </w:rPr>
              <w:t xml:space="preserve">Años de experiencia laboral total</w:t>
            </w:r>
          </w:p>
        </w:tc>
        <w:tc>
          <w:tcPr>
            <w:tcW w:type="dxa" w:w="5900"/>
          </w:tcPr>
          <w:p>
            <w:r>
              <w:rPr>
                <w:b w:val="false"/>
                <w:bCs w:val="false"/>
              </w:rPr>
              <w:t xml:space="preserve">Menos de 1 año / 1 a 3 años / 4 a 7 años / 8 a 15 años / Más de 15 años</w:t>
            </w:r>
          </w:p>
        </w:tc>
      </w:tr>
      <w:tr>
        <w:tc>
          <w:tcPr>
            <w:tcW w:type="dxa" w:w="900"/>
          </w:tcPr>
          <w:p>
            <w:r>
              <w:rPr>
                <w:b w:val="false"/>
                <w:bCs w:val="false"/>
              </w:rPr>
              <w:t xml:space="preserve">BIO03</w:t>
            </w:r>
          </w:p>
        </w:tc>
        <w:tc>
          <w:tcPr>
            <w:tcW w:type="dxa" w:w="3200"/>
          </w:tcPr>
          <w:p>
            <w:r>
              <w:rPr>
                <w:b w:val="false"/>
                <w:bCs w:val="false"/>
              </w:rPr>
              <w:t xml:space="preserve">Tiempo en el empleo más reciente</w:t>
            </w:r>
          </w:p>
        </w:tc>
        <w:tc>
          <w:tcPr>
            <w:tcW w:type="dxa" w:w="5900"/>
          </w:tcPr>
          <w:p>
            <w:r>
              <w:rPr>
                <w:b w:val="false"/>
                <w:bCs w:val="false"/>
              </w:rPr>
              <w:t xml:space="preserve">Menos de 1 año / 1 a 2 años / 3 a 5 años / Más de 5 años / No he tenido un empleo formal todavía</w:t>
            </w:r>
          </w:p>
        </w:tc>
      </w:tr>
      <w:tr>
        <w:tc>
          <w:tcPr>
            <w:tcW w:type="dxa" w:w="900"/>
          </w:tcPr>
          <w:p>
            <w:r>
              <w:rPr>
                <w:b w:val="false"/>
                <w:bCs w:val="false"/>
              </w:rPr>
              <w:t xml:space="preserve">BIO04</w:t>
            </w:r>
          </w:p>
        </w:tc>
        <w:tc>
          <w:tcPr>
            <w:tcW w:type="dxa" w:w="3200"/>
          </w:tcPr>
          <w:p>
            <w:r>
              <w:rPr>
                <w:b w:val="false"/>
                <w:bCs w:val="false"/>
              </w:rPr>
              <w:t xml:space="preserve">Número de empleos formales en los últimos 5 años</w:t>
            </w:r>
          </w:p>
        </w:tc>
        <w:tc>
          <w:tcPr>
            <w:tcW w:type="dxa" w:w="5900"/>
          </w:tcPr>
          <w:p>
            <w:r>
              <w:rPr>
                <w:b w:val="false"/>
                <w:bCs w:val="false"/>
              </w:rPr>
              <w:t xml:space="preserve">Ninguno / Uno / Dos / Tres / Cuatro o más</w:t>
            </w:r>
          </w:p>
        </w:tc>
      </w:tr>
      <w:tr>
        <w:tc>
          <w:tcPr>
            <w:tcW w:type="dxa" w:w="900"/>
          </w:tcPr>
          <w:p>
            <w:r>
              <w:rPr>
                <w:b w:val="false"/>
                <w:bCs w:val="false"/>
              </w:rPr>
              <w:t xml:space="preserve">BIO05</w:t>
            </w:r>
          </w:p>
        </w:tc>
        <w:tc>
          <w:tcPr>
            <w:tcW w:type="dxa" w:w="3200"/>
          </w:tcPr>
          <w:p>
            <w:r>
              <w:rPr>
                <w:b w:val="false"/>
                <w:bCs w:val="false"/>
              </w:rPr>
              <w:t xml:space="preserve">Personal a cargo (informativo)</w:t>
            </w:r>
          </w:p>
        </w:tc>
        <w:tc>
          <w:tcPr>
            <w:tcW w:type="dxa" w:w="5900"/>
          </w:tcPr>
          <w:p>
            <w:r>
              <w:rPr>
                <w:b w:val="false"/>
                <w:bCs w:val="false"/>
              </w:rPr>
              <w:t xml:space="preserve">Sí / No</w:t>
            </w:r>
          </w:p>
        </w:tc>
      </w:tr>
      <w:tr>
        <w:tc>
          <w:tcPr>
            <w:tcW w:type="dxa" w:w="900"/>
          </w:tcPr>
          <w:p>
            <w:r>
              <w:rPr>
                <w:b w:val="false"/>
                <w:bCs w:val="false"/>
              </w:rPr>
              <w:t xml:space="preserve">BIO06</w:t>
            </w:r>
          </w:p>
        </w:tc>
        <w:tc>
          <w:tcPr>
            <w:tcW w:type="dxa" w:w="3200"/>
          </w:tcPr>
          <w:p>
            <w:r>
              <w:rPr>
                <w:b w:val="false"/>
                <w:bCs w:val="false"/>
              </w:rPr>
              <w:t xml:space="preserve">Situación laboral actual</w:t>
            </w:r>
          </w:p>
        </w:tc>
        <w:tc>
          <w:tcPr>
            <w:tcW w:type="dxa" w:w="5900"/>
          </w:tcPr>
          <w:p>
            <w:r>
              <w:rPr>
                <w:b w:val="false"/>
                <w:bCs w:val="false"/>
              </w:rPr>
              <w:t xml:space="preserve">Empleado/a actualmente / Trabajo por cuenta propia / independiente / Buscando empleo actualmente / No estoy buscando empleo actualmente</w:t>
            </w:r>
          </w:p>
        </w:tc>
      </w:tr>
    </w:tbl>
    <w:p>
      <w:pPr>
        <w:spacing w:after="100"/>
      </w:pPr>
      <w:r>
        <w:t xml:space="preserve"/>
      </w:r>
    </w:p>
    <w:p>
      <w:pPr>
        <w:spacing w:after="150"/>
      </w:pPr>
      <w:r>
        <w:rPr>
          <w:b/>
          <w:bCs/>
        </w:rPr>
        <w:t xml:space="preserve">[INFERENCIA] </w:t>
      </w:r>
      <w:r>
        <w:t xml:space="preserve"> Puramente informativo en este bloque de bio-data. NO alimenta automáticamente el multiplicador de nivel de puesto de Fase 6 Sección 12 — ese campo, en la capa B2B, lo confirma Recursos Humanos, no el propio evaluado, precisamente para no depender de un autorreporte no verificado en un cálculo que afecta el resultado.</w:t>
      </w:r>
    </w:p>
    <w:p>
      <w:pPr>
        <w:spacing w:after="150"/>
      </w:pPr>
      <w:r>
        <w:t xml:space="preserve">El detalle completo de los 6 reactivos de bio-data está en biodata_data.json (insumo técnico).</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2026-09-15T21:56:28.864Z</dcterms:created>
  <dcterms:modified xsi:type="dcterms:W3CDTF">2026-09-15T21:56:28.874Z</dcterms:modified>
</cp:coreProperties>
</file>

<file path=docProps/custom.xml><?xml version="1.0" encoding="utf-8"?>
<Properties xmlns="http://schemas.openxmlformats.org/officeDocument/2006/custom-properties" xmlns:vt="http://schemas.openxmlformats.org/officeDocument/2006/docPropsVTypes"/>
</file>