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300"/>
        <w:jc w:val="center"/>
      </w:pPr>
      <w:r>
        <w:rPr>
          <w:b/>
          <w:bCs/>
          <w:sz w:val="40"/>
          <w:szCs w:val="40"/>
        </w:rPr>
        <w:t xml:space="preserve">Fase 6 — Modelo de Cálculo</w:t>
      </w:r>
    </w:p>
    <w:p>
      <w:pPr>
        <w:spacing w:after="60"/>
        <w:jc w:val="center"/>
      </w:pPr>
      <w:r>
        <w:rPr>
          <w:i/>
          <w:iCs/>
        </w:rPr>
        <w:t xml:space="preserve">[NOMBRE DEL INSTRUMENTO] — Nuevo instrumento de evaluación de integridad laboral</w:t>
      </w:r>
    </w:p>
    <w:p>
      <w:pPr>
        <w:spacing w:after="60"/>
        <w:jc w:val="center"/>
      </w:pPr>
      <w:r>
        <w:rPr>
          <w:i/>
          <w:iCs/>
        </w:rPr>
        <w:t xml:space="preserve">Versión 4 — 21 dimensiones / 210 reactivos (10 por dimensión)</w:t>
      </w:r>
    </w:p>
    <w:p>
      <w:pPr>
        <w:spacing w:after="300"/>
        <w:jc w:val="center"/>
      </w:pPr>
      <w:r>
        <w:rPr>
          <w:sz w:val="20"/>
          <w:szCs w:val="20"/>
        </w:rPr>
        <w:t xml:space="preserve">Preparado para: George (jsuasnavas@gmail.com) · Fecha: 10 de septiembre de 2026</w:t>
      </w:r>
    </w:p>
    <w:p>
      <w:pPr>
        <w:spacing w:after="150"/>
      </w:pPr>
      <w:r>
        <w:t xml:space="preserve">Este documento describe en prosa la fórmula completa de cálculo del instrumento, desde la respuesta cruda de un reactivo hasta el índice general, el tope estructural del 95%, el error estándar de medición y su intervalo de confianza, los niveles de corte y semáforo, y el tratamiento de invalidación parcial y total heredado de los 5 indicadores de validez del protocolo (los 4 originales más la Escala de Deseabilidad Social agregada en DECISIONS.md punto 35). Se complementa con Fase6_Matriz_Scoring.xlsx, que implementa esta misma fórmula como un modelo de hoja de cálculo funcional, con fórmulas en vivo y valores parametrizables. Reemplaza íntegramente la Fase 6 de la versión v2: la fórmula base de los Pasos 1 a 6 no cambió, se le agregó el tope del 95% (Sección 8), el SEM y el intervalo de confianza del 95% (Sección 9), los 6 niveles de corte y semáforo (Sección 10), y se corrigió el tratamiento de invalidación (Sección 11) para que no altere el número calculado.</w:t>
      </w:r>
    </w:p>
    <w:p>
      <w:pPr>
        <w:spacing w:after="150"/>
      </w:pPr>
      <w:r>
        <w:rPr>
          <w:b/>
          <w:bCs/>
        </w:rPr>
        <w:t xml:space="preserve">Convención de evidencia: </w:t>
      </w:r>
      <w:r>
        <w:t xml:space="preserve">[HECHO] = decisión ya aprobada por George en DECISIONS.md · [INFERENCIA] = derivado lógicamente de una decisión aprobada · [HIPÓTESIS] = elección razonable del equipo de diseño, no validada aún empíricamente · [DESCONOCIDO] = pendiente de dato piloto.</w:t>
      </w:r>
    </w:p>
    <w:p>
      <w:pPr>
        <w:pStyle w:val="Heading1"/>
        <w:spacing w:after="200" w:before="400"/>
      </w:pPr>
      <w:r>
        <w:t xml:space="preserve">1. Nombre del índice: Índice General de Integridad (IGI)</w:t>
      </w:r>
    </w:p>
    <w:p>
      <w:pPr>
        <w:spacing w:after="150"/>
      </w:pPr>
      <w:r>
        <w:rPr>
          <w:b/>
          <w:bCs/>
        </w:rPr>
        <w:t xml:space="preserve">[HECHO] </w:t>
      </w:r>
      <w:r>
        <w:t xml:space="preserve">DECISIONS.md establece que el instrumento se lanza con un modelo estadístico de Teoría Clásica de los Tests (TCT), con un puntaje ponderado de filosofía equivalente al de instrumentos de mercado ya analizados en la Fase 1 original del proyecto, pero con nombre, fórmula y tabla de valores propios y documentados desde el diseño.</w:t>
      </w:r>
    </w:p>
    <w:p>
      <w:pPr>
        <w:spacing w:after="150"/>
      </w:pPr>
      <w:r>
        <w:rPr>
          <w:b/>
          <w:bCs/>
        </w:rPr>
        <w:t xml:space="preserve">[HECHO] </w:t>
      </w:r>
      <w:r>
        <w:t xml:space="preserve"> George corrigió (2026-09-10, DECISIONS.md punto 19) la orientación del índice: el IGI (Índice General de Integridad) es, en el número que se reporta a cualquier persona o empresa, un índice de integridad en sentido literal — más alto es MEJOR (mayor integridad, menor riesgo), nunca al revés, consistente con su propio nombre y con la expectativa cultural de que una calificación más alta es una mejor calificación.</w:t>
      </w:r>
    </w:p>
    <w:p>
      <w:pPr>
        <w:spacing w:after="150"/>
      </w:pPr>
      <w:r>
        <w:t xml:space="preserve">Para llegar a ese número, el motor de cálculo primero produce un valor puramente interno, el Puntaje de Riesgo Base (PRB): una combinación ponderada de las dimensiones Núcleo donde los valores altos SÍ representan más riesgo (Secciones 2 a 6). El IGI que se reporta hacia afuera es el complemento de ese valor interno (Sección 7): `IGI_reportado = (1 − PRB_ajustado) × 100 × 0.95`. El PRB nunca se muestra a la persona ni a la empresa; es un paso intermedio del cálculo, documentado aquí únicamente para explicar la fórmula completa. El concepto de "IIC" que existía en la versión anterior de este documento queda retirado: el IGI ya es, en sí mismo, ese número orientado a integridad, usado como el único número reportado tanto en la capa gratuita B2C como en la de pago B2B — lo que cambia entre capas es el lenguaje narrativo alrededor del número (fortaleza vs. riesgo), nunca el número.</w:t>
      </w:r>
    </w:p>
    <w:p>
      <w:pPr>
        <w:pStyle w:val="Heading1"/>
        <w:spacing w:after="200" w:before="400"/>
      </w:pPr>
      <w:r>
        <w:t xml:space="preserve">2. Paso 1 — De la respuesta cruda al valor de reactivo</w:t>
      </w:r>
    </w:p>
    <w:p>
      <w:pPr>
        <w:spacing w:after="150"/>
      </w:pPr>
      <w:r>
        <w:t xml:space="preserve">Cada uno de los 210 reactivos del banco (Fases 3-5) tiene una escala de respuesta cruda de 0 a un valor máximo propio (3 o 4, según el número de alternativas del reactivo, documentado en la columna 'Valor max crudo' de Fase6_Matriz_Scoring.xlsx), y una dirección declarada en el mismo archivo: Directo o Inverso (definidas en la Fase 2, Sección 3).</w:t>
      </w:r>
    </w:p>
    <w:p>
      <w:pPr>
        <w:spacing w:after="150"/>
      </w:pPr>
      <w:r>
        <w:rPr>
          <w:rFonts w:ascii="Courier New" w:cs="Courier New" w:eastAsia="Courier New" w:hAnsi="Courier New"/>
        </w:rPr>
        <w:t xml:space="preserve">Valor_reactivo = SI(Dirección = "Inverso", Valor_max − Respuesta_cruda, Respuesta_cruda)</w:t>
      </w:r>
    </w:p>
    <w:p>
      <w:pPr>
        <w:spacing w:after="150"/>
      </w:pPr>
      <w:r>
        <w:t xml:space="preserve">Esta transformación asegura que, sin importar si el reactivo fue redactado en dirección directa o inversa, Valor_reactivo siempre queda en la misma orientación: 0 representa la respuesta de menor riesgo posible para ese reactivo, y Valor_max representa la respuesta de mayor riesgo posible.</w:t>
      </w:r>
    </w:p>
    <w:p>
      <w:pPr>
        <w:pStyle w:val="Heading1"/>
        <w:spacing w:after="200" w:before="400"/>
      </w:pPr>
      <w:r>
        <w:t xml:space="preserve">3. Paso 2 — Normalización del reactivo (0 a 1)</w:t>
      </w:r>
    </w:p>
    <w:p>
      <w:pPr>
        <w:spacing w:after="150"/>
      </w:pPr>
      <w:r>
        <w:t xml:space="preserve">Como los reactivos no comparten el mismo número de alternativas (algunos van de 0 a 3, otros de 0 a 4), cada Valor_reactivo se normaliza dividiéndolo entre su propio máximo, para que todos los reactivos aporten en la misma escala de 0 a 1 antes de agregarse:</w:t>
      </w:r>
    </w:p>
    <w:p>
      <w:pPr>
        <w:spacing w:after="150"/>
      </w:pPr>
      <w:r>
        <w:rPr>
          <w:rFonts w:ascii="Courier New" w:cs="Courier New" w:eastAsia="Courier New" w:hAnsi="Courier New"/>
        </w:rPr>
        <w:t xml:space="preserve">Valor_normalizado = Valor_reactivo / Valor_max</w:t>
      </w:r>
    </w:p>
    <w:p>
      <w:pPr>
        <w:spacing w:after="150"/>
      </w:pPr>
      <w:r>
        <w:rPr>
          <w:b/>
          <w:bCs/>
        </w:rPr>
        <w:t xml:space="preserve">[HECHO] </w:t>
      </w:r>
      <w:r>
        <w:t xml:space="preserve">Esta normalización es la que permite que la escala de opción variable (DECISIONS.md punto 2) conviva con una fórmula de agregación única, en vez de forzar a todos los reactivos a la misma cantidad de alternativas.</w:t>
      </w:r>
    </w:p>
    <w:p>
      <w:pPr>
        <w:pStyle w:val="Heading1"/>
        <w:spacing w:after="200" w:before="400"/>
      </w:pPr>
      <w:r>
        <w:t xml:space="preserve">4. Paso 3 — Agregación a nivel de dimensión</w:t>
      </w:r>
    </w:p>
    <w:p>
      <w:pPr>
        <w:spacing w:after="150"/>
      </w:pPr>
      <w:r>
        <w:t xml:space="preserve">El puntaje de cada una de las 21 dimensiones se calcula como el promedio simple de los Valores_normalizados de sus reactivos EFECTIVAMENTE RESPONDIDOS (10 en las 12 dimensiones Núcleo — Base + Adicional, y también 10 en las 9 dimensiones Contextuales desde la Versión 4, cuando la persona respondió todos; todas organizadas en 5 pares espejo completos por dimensión, DECISIONS.md punto 28):</w:t>
      </w:r>
    </w:p>
    <w:p>
      <w:pPr>
        <w:spacing w:after="150"/>
      </w:pPr>
      <w:r>
        <w:rPr>
          <w:rFonts w:ascii="Courier New" w:cs="Courier New" w:eastAsia="Courier New" w:hAnsi="Courier New"/>
        </w:rPr>
        <w:t xml:space="preserve">Puntaje_dimensión = PROMEDIO(Valor_normalizado de los reactivos de esa dimensión que la persona efectivamente respondió)</w:t>
      </w:r>
    </w:p>
    <w:p>
      <w:pPr>
        <w:spacing w:after="150"/>
      </w:pPr>
      <w:r>
        <w:rPr>
          <w:b/>
          <w:bCs/>
        </w:rPr>
        <w:t xml:space="preserve">[HECHO] </w:t>
      </w:r>
      <w:r>
        <w:t xml:space="preserve"> Regla única de denominador (cierra la ambigüedad que existía entre esta sección y la Sección 11): el denominador del promedio SIEMPRE es la cantidad de reactivos de esa dimensión que la persona efectivamente respondió, nunca un 10 fijo y nunca un reactivo no respondido imputado con un valor supuesto. Cuando la persona respondió los 10, el promedio equivale exactamente al promedio simple sobre 10 ya descrito en versiones anteriores de este documento; cuando quedaron reactivos sin responder dentro del margen que permite el indicador de Omisión (Fase 2, Sección 5.2 — hasta 25% no respondido sin invalidar la dimensión, hasta 15% del test completo sin invalidar el protocolo), el promedio se calcula solo sobre los efectivamente respondidos, con un denominador más chico. Esta es la práctica estándar de Teoría Clásica de los Tests para reactivos faltantes (promedio sobre respondidos, sin imputación), y es la misma regla que ya aplicaba, sin excepción, a la fórmula del IGI y de cada Puntaje_dimensión en la Sección 11 de este documento.</w:t>
      </w:r>
    </w:p>
    <w:p>
      <w:pPr>
        <w:spacing w:after="150"/>
      </w:pPr>
      <w:r>
        <w:rPr>
          <w:b/>
          <w:bCs/>
        </w:rPr>
        <w:t xml:space="preserve">[INFERENCIA] </w:t>
      </w:r>
      <w:r>
        <w:t xml:space="preserve"> Se usa un promedio simple, y no una suma directa, precisamente porque ya se trabajó con valores normalizados 0-1 en el Paso 2; esto mantiene el Puntaje_dimensión también en una escala de 0 a 1, comparable entre las 21 dimensiones, que desde la Versión 4 tienen todas el mismo número máximo de reactivos (10) y de pares espejo (5), sin importar si el denominador real de una aplicación concreta quedó por debajo de 10 por omisión dentro del margen permitido.</w:t>
      </w:r>
    </w:p>
    <w:p>
      <w:pPr>
        <w:pStyle w:val="Heading1"/>
        <w:spacing w:after="200" w:before="400"/>
      </w:pPr>
      <w:r>
        <w:t xml:space="preserve">5. Paso 4 — Ponderación por dimensión y cálculo del Puntaje de Riesgo Base (PRB)</w:t>
      </w:r>
    </w:p>
    <w:p>
      <w:pPr>
        <w:spacing w:after="150"/>
      </w:pPr>
      <w:r>
        <w:rPr>
          <w:b/>
          <w:bCs/>
        </w:rPr>
        <w:t xml:space="preserve">[HECHO] </w:t>
      </w:r>
      <w:r>
        <w:t xml:space="preserve"> Conforme a la arquitectura definida en la Fase 1, únicamente las dimensiones de los grupos Núcleo — Base y Núcleo — Adicionales alimentan el PRB; las 9 dimensiones de Factores Contextuales se calculan y se reportan (Puntaje_dimensión, igual que las demás), pero NUNCA se suman al PRB ni, por lo tanto, al IGI, sin excepción.</w:t>
      </w:r>
    </w:p>
    <w:p>
      <w:pPr>
        <w:spacing w:after="150"/>
      </w:pPr>
      <w:r>
        <w:rPr>
          <w:rFonts w:ascii="Courier New" w:cs="Courier New" w:eastAsia="Courier New" w:hAnsi="Courier New"/>
        </w:rPr>
        <w:t xml:space="preserve">PRB = SUMATORIA, para cada dimensión Núcleo (Base o Adicional seleccionada) i, de (Puntaje_dimensión_i × Peso_dimensión_i)</w:t>
      </w:r>
    </w:p>
    <w:p>
      <w:pPr>
        <w:spacing w:after="150"/>
      </w:pPr>
      <w:r>
        <w:t xml:space="preserve">Donde Peso_dimensión_i es un valor parametrizable definido en la hoja Pesos_Dimensiones de Fase6_Matriz_Scoring.xlsx, con la restricción de que la suma de los pesos de las dimensiones Núcleo efectivamente seleccionadas para esa batería (la Base obligatoria de 5, más las Adicionales que correspondan al puesto) sea siempre 100%.</w:t>
      </w:r>
    </w:p>
    <w:p>
      <w:pPr>
        <w:spacing w:after="150"/>
      </w:pPr>
      <w:r>
        <w:rPr>
          <w:b/>
          <w:bCs/>
        </w:rPr>
        <w:t xml:space="preserve">[HIPÓTESIS] </w:t>
      </w:r>
      <w:r>
        <w:t xml:space="preserve"> La matriz de partida de Fase6_Matriz_Scoring.xlsx asigna igual peso a las 12 dimensiones Núcleo (1/12 ≈ 8.33% cada una), a falta de evidencia empírica que justifique ponderar una dimensión más que otra; este esquema de pesos iguales debe revisarse con los resultados del análisis factorial de la Fase 9. Al configurar una batería real para un puesto específico, que normalmente usará la Base obligatoria más solo algunas Adicionales (ver DECISIONS.md, 'Regla de configuración por puesto'), los pesos deben re-parametrizarse para que sumen 100% entre únicamente las dimensiones Núcleo efectivamente seleccionadas, no entre las 12 completas.</w:t>
      </w:r>
    </w:p>
    <w:p>
      <w:pPr>
        <w:spacing w:after="150"/>
      </w:pPr>
      <w:r>
        <w:rPr>
          <w:b/>
          <w:bCs/>
        </w:rPr>
        <w:t xml:space="preserve">[INFERENCIA] </w:t>
      </w:r>
      <w:r>
        <w:rPr>
          <w:b/>
          <w:bCs/>
        </w:rPr>
        <w:t xml:space="preserve">Ejemplo numérico de re-parametrización (batería reducida): </w:t>
      </w:r>
      <w:r>
        <w:t xml:space="preserve">Un puesto Operativo usa la batería mínima: las 5 dimensiones Base, sin ninguna Adicional. Con la matriz de partida (peso igual entre las 12 Núcleo, 1/12 cada una), las 5 Base solo suman 5/12 ≈ 41.67% — muy por debajo del 100% que exige la restricción de la Sección 5. Se re-parametriza dividiendo cada peso original entre la suma de los pesos de las dimensiones efectivamente seleccionadas: Peso_reparametrizado_i = Peso_original_i / Σ(Peso_original de las dimensiones seleccionadas). Como las 5 Base ya tenían el mismo peso entre sí (1/12 cada una), el resultado es, de nuevo, un peso igual entre ellas: Peso_reparametrizado = (1/12) / (5/12) = 1/5 = 20% cada una de las 5 dimensiones Base, y las 7 Adicionales no seleccionadas quedan en 0% para esa batería (nunca se eliminan del banco, solo no participan en el PRB de ese puesto). Si en cambio el puesto agrega 2 Adicionales (por ejemplo Deslealtad y Favoritismo), quedan 7 dimensiones Núcleo seleccionadas (las 5 Base + esas 2), y cada una pasa a pesar (1/12) / (7/12) = 1/7 ≈ 14.29%. La misma lógica de re-parametrización aplica sin importar cuántas ni cuáles Adicionales se agreguen: los pesos originales de las dimensiones seleccionadas siempre se dividen entre la suma de esos mismos pesos originales, nunca entre la suma de los 12 completos.</w:t>
      </w:r>
    </w:p>
    <w:p>
      <w:pPr>
        <w:spacing w:after="150"/>
      </w:pPr>
      <w:r>
        <w:t xml:space="preserve">El PRB queda en una escala continua de 0 a 1, alto = más riesgo. Es un valor puramente interno (Sección 1): nunca se reporta directamente, solo se usa para calcular el IGI (Sección 7).</w:t>
      </w:r>
    </w:p>
    <w:p>
      <w:pPr>
        <w:spacing w:after="150"/>
      </w:pPr>
      <w:r>
        <w:t xml:space="preserve">Las 9 dimensiones de Factores Contextuales se reportan de forma independiente, cada una con su propio Puntaje_dimensión (0 a 1), y opcionalmente con un 'peso como moderador' (también parametrizable, por defecto 1/9 cada una) que sirve únicamente para fines de presentación relativa entre ellas, sin combinarse aritméticamente con el PRB ni el IGI.</w:t>
      </w:r>
    </w:p>
    <w:p>
      <w:pPr>
        <w:spacing w:after="150"/>
      </w:pPr>
      <w:r>
        <w:rPr>
          <w:b/>
          <w:bCs/>
        </w:rPr>
        <w:t xml:space="preserve">[INFERENCIA] </w:t>
      </w:r>
      <w:r>
        <w:t xml:space="preserve"> Esto preserva la distinción funcional Núcleo (Base + Adicional) / Contextual definida en la Fase 1: los factores contextuales informan el contexto de riesgo de una persona, pero no la incriminan directamente ni penalizan su índice general de integridad.</w:t>
      </w:r>
    </w:p>
    <w:p>
      <w:pPr>
        <w:pStyle w:val="Heading1"/>
        <w:spacing w:after="200" w:before="400"/>
      </w:pPr>
      <w:r>
        <w:t xml:space="preserve">6. Fórmula completa consolidada del Puntaje de Riesgo Base</w:t>
      </w:r>
    </w:p>
    <w:p>
      <w:pPr>
        <w:spacing w:after="150"/>
      </w:pPr>
      <w:r>
        <w:rPr>
          <w:rFonts w:ascii="Courier New" w:cs="Courier New" w:eastAsia="Courier New" w:hAnsi="Courier New"/>
        </w:rPr>
        <w:t xml:space="preserve">PRB = Σ_i∈Núcleo(seleccionadas) [ Peso_i × PROMEDIO_j∈reactivos(i) ( ( SI(Dirección_j="Inverso", Max_j − Cruda_j, Cruda_j) ) / Max_j ) ]</w:t>
      </w:r>
    </w:p>
    <w:p>
      <w:pPr>
        <w:spacing w:after="150"/>
      </w:pPr>
      <w:r>
        <w:t xml:space="preserve">En palabras: para cada dimensión Núcleo seleccionada en la batería, se toma cada uno de sus reactivos, se ajusta según su dirección, se normaliza entre 0 y 1, se promedian los reactivos de esa dimensión, y ese promedio se multiplica por el peso asignado a la dimensión; la suma de esos productos, para todas las dimensiones Núcleo seleccionadas, es el PRB (alto = más riesgo).</w:t>
      </w:r>
    </w:p>
    <w:p>
      <w:pPr>
        <w:pStyle w:val="Heading1"/>
        <w:spacing w:after="200" w:before="400"/>
      </w:pPr>
      <w:r>
        <w:t xml:space="preserve">7. Del riesgo base al IGI reportado</w:t>
      </w:r>
    </w:p>
    <w:p>
      <w:pPr>
        <w:spacing w:after="150"/>
      </w:pPr>
      <w:r>
        <w:rPr>
          <w:rFonts w:ascii="Courier New" w:cs="Courier New" w:eastAsia="Courier New" w:hAnsi="Courier New"/>
        </w:rPr>
        <w:t xml:space="preserve">IGI_reportado = (1 − PRB_ajustado_por_puesto) × 100 × 0.95</w:t>
      </w:r>
    </w:p>
    <w:p>
      <w:pPr>
        <w:spacing w:after="150"/>
      </w:pPr>
      <w:r>
        <w:rPr>
          <w:b/>
          <w:bCs/>
        </w:rPr>
        <w:t xml:space="preserve">[HECHO] </w:t>
      </w:r>
      <w:r>
        <w:t xml:space="preserve"> El IGI es el único número que se reporta, tanto en la capa de reporte empresarial (lenguaje de riesgo, orientado a decisión de selección/gestión de personal, ver Fase 10 Sección 3) como en la capa de perfil individual gratuito (lenguaje de fortaleza, orientado a autoconocimiento y viralidad, ver Fase 10 Sección 2). Antes se usaban dos números distintos (IGI y su complemento IIC); a partir de esta versión es un solo número, siempre en la misma orientación (más alto = mejor), y lo que cambia entre capas es únicamente el lenguaje narrativo alrededor de ese número, conforme al criterio de tono definido en DECISIONS.md punto 8.</w:t>
      </w:r>
    </w:p>
    <w:p>
      <w:pPr>
        <w:spacing w:after="150"/>
      </w:pPr>
      <w:r>
        <w:t xml:space="preserve">PRB_ajustado_por_puesto es el PRB después de aplicar el multiplicador de nivel de puesto (Sección 12); cuando no se usa esa función (o el multiplicador es 1.0), PRB_ajustado_por_puesto = PRB.</w:t>
      </w:r>
    </w:p>
    <w:p>
      <w:pPr>
        <w:pStyle w:val="Heading1"/>
        <w:spacing w:after="200" w:before="400"/>
      </w:pPr>
      <w:r>
        <w:t xml:space="preserve">8. Tope estructural del 95% (margen de error de medición)</w:t>
      </w:r>
    </w:p>
    <w:p>
      <w:pPr>
        <w:spacing w:after="150"/>
      </w:pPr>
      <w:r>
        <w:rPr>
          <w:b/>
          <w:bCs/>
        </w:rPr>
        <w:t xml:space="preserve">[HECHO] </w:t>
      </w:r>
      <w:r>
        <w:t xml:space="preserve"> George pidió (2026-09-10) que el puntaje máximo que puede mostrarse nunca llegue a 100, dejando un margen de error del 5% (DECISIONS.md punto 19): ningún instrumento psicométrico puede afirmar con 100% de certeza una conducta, así que ese margen queda incorporado en la escala misma, siempre, para toda aplicación válida o no.</w:t>
      </w:r>
    </w:p>
    <w:p>
      <w:pPr>
        <w:spacing w:after="150"/>
      </w:pPr>
      <w:r>
        <w:t xml:space="preserve">Este tope se aplica como último paso, sobre el resultado ya expresado en la escala 0-100, tanto al IGI general (Sección 7) como al Puntaje_dimensión de cada una de las 21 dimensiones (Núcleo y Contextuales) cuando se reportan de forma individual, ya convertido a orientación de integridad (más alto = mejor):</w:t>
      </w:r>
    </w:p>
    <w:p>
      <w:pPr>
        <w:spacing w:after="150"/>
      </w:pPr>
      <w:r>
        <w:rPr>
          <w:rFonts w:ascii="Courier New" w:cs="Courier New" w:eastAsia="Courier New" w:hAnsi="Courier New"/>
        </w:rPr>
        <w:t xml:space="preserve">IGI_reportado = (1 − PRB_ajustado_por_puesto) × 100 × 0.95        Puntaje_dimensión_reportado = (1 − Puntaje_dimensión_riesgo) × 100 × 0.95</w:t>
      </w:r>
    </w:p>
    <w:p>
      <w:pPr>
        <w:spacing w:after="150"/>
      </w:pPr>
      <w:r>
        <w:rPr>
          <w:b/>
          <w:bCs/>
        </w:rPr>
        <w:t xml:space="preserve">[INFERENCIA] </w:t>
      </w:r>
      <w:r>
        <w:t xml:space="preserve"> El multiplicador 0.95 es un tope estructural fijo (siempre el mismo, para cualquier persona y cualquier aplicación), distinto de los indicadores de validez del protocolo (Sección 11): el 95% representa la incertidumbre de medición inherente al instrumento, no la confiabilidad particular de una aplicación concreta.</w:t>
      </w:r>
    </w:p>
    <w:p>
      <w:pPr>
        <w:pStyle w:val="Heading1"/>
        <w:spacing w:after="200" w:before="400"/>
      </w:pPr>
      <w:r>
        <w:t xml:space="preserve">9. Error estándar de medición (SEM) e intervalo de confianza del 95%</w:t>
      </w:r>
    </w:p>
    <w:p>
      <w:pPr>
        <w:spacing w:after="150"/>
      </w:pPr>
      <w:r>
        <w:rPr>
          <w:b/>
          <w:bCs/>
        </w:rPr>
        <w:t xml:space="preserve">[HECHO] </w:t>
      </w:r>
      <w:r>
        <w:t xml:space="preserve"> Como psicómetra, se agrega (DECISIONS.md punto 32) el paso que faltaba para que el IGI se reporte de forma psicométricamente completa: ningún puntaje de un test está libre de error de medición, así que reportarlo como un número puntual único (ej. "72") invita a sobreinterpretar diferencias pequeñas entre personas (ej. tratar 71 vs. 73 como una diferencia real cuando puede ser solo ruido de medición). Este paso es adicional a la fórmula ya vigente (Secciones 1 a 8): se calcula sobre el IGI_reportado ya ajustado por puesto y ya con el tope del 95% aplicado, nunca antes.</w:t>
      </w:r>
    </w:p>
    <w:p>
      <w:pPr>
        <w:spacing w:after="150"/>
      </w:pPr>
      <w:r>
        <w:rPr>
          <w:rFonts w:ascii="Courier New" w:cs="Courier New" w:eastAsia="Courier New" w:hAnsi="Courier New"/>
        </w:rPr>
        <w:t xml:space="preserve">SEM = DesviaciónEstándar_muestra_referencia × √(1 − Confiabilidad_IGI)</w:t>
      </w:r>
    </w:p>
    <w:p>
      <w:pPr>
        <w:spacing w:after="150"/>
      </w:pPr>
      <w:r>
        <w:rPr>
          <w:rFonts w:ascii="Courier New" w:cs="Courier New" w:eastAsia="Courier New" w:hAnsi="Courier New"/>
        </w:rPr>
        <w:t xml:space="preserve">IC_95% = IGI_reportado ± 1.96 × SEM</w:t>
      </w:r>
    </w:p>
    <w:p>
      <w:pPr>
        <w:spacing w:after="150"/>
      </w:pPr>
      <w:r>
        <w:rPr>
          <w:b/>
          <w:bCs/>
        </w:rPr>
        <w:t xml:space="preserve">[DESCONOCIDO] </w:t>
      </w:r>
      <w:r>
        <w:t xml:space="preserve"> Confiabilidad_IGI y DesviaciónEstándar_muestra_referencia son datos empíricos que todavía no existen (dependen de la muestra piloto de la Fase 8-9): Confiabilidad_IGI se calcula como Omega de McDonald (ω) sobre las dimensiones Núcleo que alimentan el PRB, con Alfa de Cronbach como referencia secundaria (DECISIONS.md punto 30, Fase 12 Sección 2). Mientras no existan, el SEM y el IC_95% se muestran como [PENDIENTE DE DATO PILOTO] en el reporte, en vez de omitirse por completo — es decir, el espacio para el intervalo queda visualmente reservado desde el lanzamiento, para que agregarlo después no sea un rediseño de interfaz. Fase6_Matriz_Scoring.xlsx incluye una hoja 'SEM_IC' con las celdas de esta fórmula ya construidas, en blanco hasta que exista el dato piloto.</w:t>
      </w:r>
    </w:p>
    <w:p>
      <w:pPr>
        <w:spacing w:after="150"/>
      </w:pPr>
      <w:r>
        <w:rPr>
          <w:b/>
          <w:bCs/>
        </w:rPr>
        <w:t xml:space="preserve">[HECHO] </w:t>
      </w:r>
      <w:r>
        <w:t xml:space="preserve"> Una vez exista el dato piloto, todo reporte (B2C y B2B) debe mostrar el IGI junto con su intervalo de confianza del 95%, no solo el número puntual. La capa B2B, además, debe incluir una nota explícita de que dos candidatos cuyos intervalos se superponen no deben interpretarse como "distintos" en integridad de forma concluyente — esto es una salvaguarda tanto psicométrica como de uso responsable (Sección 11, Fase 12 Sección 10).</w:t>
      </w:r>
    </w:p>
    <w:p>
      <w:pPr>
        <w:pStyle w:val="Heading1"/>
        <w:spacing w:after="200" w:before="400"/>
      </w:pPr>
      <w:r>
        <w:t xml:space="preserve">10. Niveles de corte y semáforo de resultados</w:t>
      </w:r>
    </w:p>
    <w:p>
      <w:pPr>
        <w:spacing w:after="150"/>
      </w:pPr>
      <w:r>
        <w:rPr>
          <w:b/>
          <w:bCs/>
        </w:rPr>
        <w:t xml:space="preserve">[HECHO] </w:t>
      </w:r>
      <w:r>
        <w:t xml:space="preserve"> George indicó (2026-09-10) que el estándar mínimo en instrumentos psicométricos de este tipo es de 6 niveles de corte, y que además cada resultado (IGI general y cada dimensión individual) debe mostrarse con un color tipo semáforo (verde/amarillo/rojo) para lectura rápida por parte de RRHH.</w:t>
      </w:r>
    </w:p>
    <w:p>
      <w:pPr>
        <w:spacing w:after="150"/>
      </w:pPr>
      <w:r>
        <w:t xml:space="preserve">10.1 Los 6 niveles de corte, aplicables tanto al IGI general como a cada Puntaje_dimensión individual, ordenados de PEOR a MEJOR (el IGI ahora es 'más alto = mejor', DECISIONS.md punto 19, así que el Nivel 1 corresponde a los puntajes de IGI más bajos):</w:t>
      </w:r>
    </w:p>
    <w:p>
      <w:pPr>
        <w:pStyle w:val="ListParagraph"/>
        <w:numPr>
          <w:ilvl w:val="0"/>
          <w:numId w:val="1"/>
        </w:numPr>
        <w:spacing w:after="60"/>
      </w:pPr>
      <w:r>
        <w:t xml:space="preserve">Nivel 1 — Integridad Muy Baja (mayor riesgo)</w:t>
      </w:r>
    </w:p>
    <w:p>
      <w:pPr>
        <w:pStyle w:val="ListParagraph"/>
        <w:numPr>
          <w:ilvl w:val="0"/>
          <w:numId w:val="1"/>
        </w:numPr>
        <w:spacing w:after="60"/>
      </w:pPr>
      <w:r>
        <w:t xml:space="preserve">Nivel 2 — Integridad Baja</w:t>
      </w:r>
    </w:p>
    <w:p>
      <w:pPr>
        <w:pStyle w:val="ListParagraph"/>
        <w:numPr>
          <w:ilvl w:val="0"/>
          <w:numId w:val="1"/>
        </w:numPr>
        <w:spacing w:after="60"/>
      </w:pPr>
      <w:r>
        <w:t xml:space="preserve">Nivel 3 — Integridad Moderada-Baja</w:t>
      </w:r>
    </w:p>
    <w:p>
      <w:pPr>
        <w:pStyle w:val="ListParagraph"/>
        <w:numPr>
          <w:ilvl w:val="0"/>
          <w:numId w:val="1"/>
        </w:numPr>
        <w:spacing w:after="60"/>
      </w:pPr>
      <w:r>
        <w:t xml:space="preserve">Nivel 4 — Integridad Moderada-Alta</w:t>
      </w:r>
    </w:p>
    <w:p>
      <w:pPr>
        <w:pStyle w:val="ListParagraph"/>
        <w:numPr>
          <w:ilvl w:val="0"/>
          <w:numId w:val="1"/>
        </w:numPr>
        <w:spacing w:after="60"/>
      </w:pPr>
      <w:r>
        <w:t xml:space="preserve">Nivel 5 — Integridad Alta</w:t>
      </w:r>
    </w:p>
    <w:p>
      <w:pPr>
        <w:pStyle w:val="ListParagraph"/>
        <w:numPr>
          <w:ilvl w:val="0"/>
          <w:numId w:val="1"/>
        </w:numPr>
        <w:spacing w:after="60"/>
      </w:pPr>
      <w:r>
        <w:t xml:space="preserve">Nivel 6 — Integridad Muy Alta (menor riesgo)</w:t>
      </w:r>
    </w:p>
    <w:p>
      <w:pPr>
        <w:spacing w:after="150"/>
      </w:pPr>
      <w:r>
        <w:rPr>
          <w:b/>
          <w:bCs/>
        </w:rPr>
        <w:t xml:space="preserve">[DESCONOCIDO] </w:t>
      </w:r>
      <w:r>
        <w:t xml:space="preserve"> Los puntos de corte exactos (percentiles sobre la escala 0-95 del IGI) entre estos 6 niveles quedan como [PENDIENTE DE DATO PILOTO], conforme a la regla ya vigente en DECISIONS.md de no inventar normas ficticias. Fase6_Matriz_Scoring.xlsx incluye una hoja 'Niveles_Corte' con 6 filas y las columnas Nivel/Etiqueta/Percentil_min/Percentil_max en blanco, lista para completarse con los percentiles reales una vez exista la muestra piloto (Fase 8-9). Mientras tanto, el sistema puede operar con puntos de corte provisionales marcados explícitamente como tales, únicamente para tener un prototipo funcional (por ejemplo, sextiles matemáticos de la escala 0-95), nunca presentados como una norma real.</w:t>
      </w:r>
    </w:p>
    <w:p>
      <w:pPr>
        <w:spacing w:after="150"/>
      </w:pPr>
      <w:r>
        <w:t xml:space="preserve">10.2 Semáforo de 3 colores, como capa de lectura rápida sobre los 6 niveles (DECISIONS.md punto 22):</w:t>
      </w:r>
    </w:p>
    <w:p>
      <w:pPr>
        <w:pStyle w:val="ListParagraph"/>
        <w:numPr>
          <w:ilvl w:val="0"/>
          <w:numId w:val="1"/>
        </w:numPr>
        <w:spacing w:after="60"/>
      </w:pPr>
      <w:r>
        <w:t xml:space="preserve">Rojo: Nivel 1 (Muy Baja) + Nivel 2 (Baja) — IGI más bajo.</w:t>
      </w:r>
    </w:p>
    <w:p>
      <w:pPr>
        <w:pStyle w:val="ListParagraph"/>
        <w:numPr>
          <w:ilvl w:val="0"/>
          <w:numId w:val="1"/>
        </w:numPr>
        <w:spacing w:after="60"/>
      </w:pPr>
      <w:r>
        <w:t xml:space="preserve">Amarillo: Nivel 3 (Moderada-Baja) + Nivel 4 (Moderada-Alta).</w:t>
      </w:r>
    </w:p>
    <w:p>
      <w:pPr>
        <w:pStyle w:val="ListParagraph"/>
        <w:numPr>
          <w:ilvl w:val="0"/>
          <w:numId w:val="1"/>
        </w:numPr>
        <w:spacing w:after="60"/>
      </w:pPr>
      <w:r>
        <w:t xml:space="preserve">Verde: Nivel 5 (Alta) + Nivel 6 (Muy Alta) — IGI más alto.</w:t>
      </w:r>
    </w:p>
    <w:p>
      <w:pPr>
        <w:spacing w:after="150"/>
      </w:pPr>
      <w:r>
        <w:t xml:space="preserve">El semáforo se aplica tanto al IGI general como al resultado de cada dimensión individual (Robo, Soborno, etc.) por separado — una persona puede, por ejemplo, salir en verde en el IGI general y en rojo en la dimensión específica de Soborno, y el reporte debe mostrar ambos niveles.</w:t>
      </w:r>
    </w:p>
    <w:p>
      <w:pPr>
        <w:pStyle w:val="Heading1"/>
        <w:spacing w:after="200" w:before="400"/>
      </w:pPr>
      <w:r>
        <w:t xml:space="preserve">11. Tratamiento de invalidación parcial y total (corregido 2026-09-10; ampliado a 5 indicadores 2026-09-11)</w:t>
      </w:r>
    </w:p>
    <w:p>
      <w:pPr>
        <w:spacing w:after="150"/>
      </w:pPr>
      <w:r>
        <w:rPr>
          <w:b/>
          <w:bCs/>
        </w:rPr>
        <w:t xml:space="preserve">[HECHO] </w:t>
      </w:r>
      <w:r>
        <w:t xml:space="preserve"> Los 5 indicadores de validez del protocolo — Azarosidad, Omisión, Aquiescencia, Contradicción (definidos en la Fase 2, Sección 5) y, desde DECISIONS.md punto 35, Deseabilidad Social (manejo de impresión) — determinan si una dimensión específica, o el protocolo completo, se marca como invalidada.</w:t>
      </w:r>
    </w:p>
    <w:p>
      <w:pPr>
        <w:spacing w:after="150"/>
      </w:pPr>
      <w:r>
        <w:rPr>
          <w:b/>
          <w:bCs/>
        </w:rPr>
        <w:t xml:space="preserve">[HECHO] </w:t>
      </w:r>
      <w:r>
        <w:t xml:space="preserve"> George corrigió expresamente (2026-09-10) el mecanismo que este documento tenía antes: la invalidación NUNCA excluye una dimensión del cálculo ni renormaliza pesos, y NUNCA resta puntos al IGI o a un Puntaje_dimensión. El IGI y cada Puntaje_dimensión se calculan siempre con la fórmula completa de las Secciones 2 a 8 (incluido el tope del 95%, Sección 8), usando todos los reactivos realmente respondidos, sin excepción. Lo único que cambia con la invalidación es cómo se presenta ese mismo número:</w:t>
      </w:r>
    </w:p>
    <w:p>
      <w:pPr>
        <w:spacing w:after="150"/>
      </w:pPr>
      <w:r>
        <w:t xml:space="preserve">11.1 Invalidación parcial (una dimensión): el Puntaje_dimensión_reportado de la dimensión afectada se sigue calculando y mostrando con su valor numérico real, pero su color se fuerza a gris en lugar de su color de semáforo normal (Sección 10.2), acompañado de una advertencia visible ('Se detectaron patrones de respuesta inconsistentes en esta dimensión — interpretar con cautela'). El resto de dimensiones y el IGI general conservan su semáforo normal.</w:t>
      </w:r>
    </w:p>
    <w:p>
      <w:pPr>
        <w:spacing w:after="150"/>
      </w:pPr>
      <w:r>
        <w:t xml:space="preserve">11.2 Invalidación total (todo el protocolo): el IGI_reportado se sigue calculando y mostrando con su valor numérico real, pero el color se fuerza a gris en todo el reporte (IGI general y las 21 dimensiones), con una advertencia prominente de invalidación total. La decisión de negocio (capa B2B) debe tratar un resultado en gris como no apto para tomar una decisión de selección/gestión de personal sin una segunda evaluación, aunque el número siga siendo visible.</w:t>
      </w:r>
    </w:p>
    <w:p>
      <w:pPr>
        <w:spacing w:after="150"/>
      </w:pPr>
      <w:r>
        <w:rPr>
          <w:b/>
          <w:bCs/>
        </w:rPr>
        <w:t xml:space="preserve">[HECHO] </w:t>
      </w:r>
      <w:r>
        <w:t xml:space="preserve"> 11.3 Deseabilidad Social (manejo de impresión) — quinto indicador, mecánica propia: a diferencia de los otros 4, este indicador se mide con una escala independiente de 8 reactivos que NO entra al cálculo del IGI ni de ninguna dimensión (Fase 12, Sección 7). Si la persona endosa 6 o más de los 8 reactivos en su versión más absoluta ('De acuerdo'/'Totalmente de acuerdo'), el protocolo se marca con 'manejo de impresión alto', usando el mismo tratamiento visual que 11.1/11.2: el IGI y cada Puntaje_dimensión se siguen calculando y mostrando con su valor real, en gris, con advertencia visible ('Esta persona mostró un patrón de respuesta compatible con manejo de impresión — interpretar el resultado con cautela adicional'). Este indicador puede activarse de forma independiente de los otros 4 (una persona puede responder con atención y consistencia interna, y aun así mostrar manejo de impresión alto), por lo que su bandera se evalúa y se muestra por separado, no se combina en un solo semáforo con Azarosidad/Omisión/Aquiescencia/Contradicción.</w:t>
      </w:r>
    </w:p>
    <w:p>
      <w:pPr>
        <w:spacing w:after="150"/>
      </w:pPr>
      <w:r>
        <w:rPr>
          <w:b/>
          <w:bCs/>
        </w:rPr>
        <w:t xml:space="preserve">[INFERENCIA] </w:t>
      </w:r>
      <w:r>
        <w:t xml:space="preserve"> Al eliminar la exclusión/renormalización, Fase6_Matriz_Scoring.xlsx se simplifica: ya no necesita una hoja de recálculo de pesos por invalidación parcial, solo una columna 'Color_reportado' (Verde/Amarillo/Rojo/Gris) por dimensión y para el IGI, calculada como SI(Invalidado, "Gris", Semáforo_según_nivel), más una columna booleana separada 'Manejo_impresión_alto' que no participa en esa fórmula.</w:t>
      </w:r>
    </w:p>
    <w:p>
      <w:pPr>
        <w:pStyle w:val="Heading1"/>
        <w:spacing w:after="200" w:before="400"/>
      </w:pPr>
      <w:r>
        <w:t xml:space="preserve">12. Nivel de exigencia por jerarquía de puesto</w:t>
      </w:r>
    </w:p>
    <w:p>
      <w:pPr>
        <w:spacing w:after="150"/>
      </w:pPr>
      <w:r>
        <w:rPr>
          <w:b/>
          <w:bCs/>
        </w:rPr>
        <w:t xml:space="preserve">[HECHO] </w:t>
      </w:r>
      <w:r>
        <w:t xml:space="preserve"> George pidió (2026-09-10) poder evaluar con más o menos exigencia según el nivel jerárquico del puesto (un puesto gerencial debe evaluarse con más exigencia que uno operativo), con un mecanismo que sí afecte el resultado, y que use una escala universal que cualquier persona de RRHH entienda, sin depender de nombres de cargo específicos de una sola empresa.</w:t>
      </w:r>
    </w:p>
    <w:p>
      <w:pPr>
        <w:spacing w:after="150"/>
      </w:pPr>
      <w:r>
        <w:t xml:space="preserve">12.1 Escala universal de 6 niveles de puesto, basada en el alcance de decisión y acceso a recursos sensibles (sin nombres de cargo específicos de una empresa):</w:t>
      </w:r>
    </w:p>
    <w:p>
      <w:pPr>
        <w:pStyle w:val="ListParagraph"/>
        <w:numPr>
          <w:ilvl w:val="0"/>
          <w:numId w:val="1"/>
        </w:numPr>
        <w:spacing w:after="60"/>
      </w:pPr>
      <w:r>
        <w:t xml:space="preserve">Nivel 1 — Operativo</w:t>
      </w:r>
    </w:p>
    <w:p>
      <w:pPr>
        <w:pStyle w:val="ListParagraph"/>
        <w:numPr>
          <w:ilvl w:val="0"/>
          <w:numId w:val="1"/>
        </w:numPr>
        <w:spacing w:after="60"/>
      </w:pPr>
      <w:r>
        <w:t xml:space="preserve">Nivel 2 — Administrativo / Auxiliar</w:t>
      </w:r>
    </w:p>
    <w:p>
      <w:pPr>
        <w:pStyle w:val="ListParagraph"/>
        <w:numPr>
          <w:ilvl w:val="0"/>
          <w:numId w:val="1"/>
        </w:numPr>
        <w:spacing w:after="60"/>
      </w:pPr>
      <w:r>
        <w:t xml:space="preserve">Nivel 3 — Profesional / Técnico</w:t>
      </w:r>
    </w:p>
    <w:p>
      <w:pPr>
        <w:pStyle w:val="ListParagraph"/>
        <w:numPr>
          <w:ilvl w:val="0"/>
          <w:numId w:val="1"/>
        </w:numPr>
        <w:spacing w:after="60"/>
      </w:pPr>
      <w:r>
        <w:t xml:space="preserve">Nivel 4 — Coordinación / Gestión de Procesos</w:t>
      </w:r>
    </w:p>
    <w:p>
      <w:pPr>
        <w:pStyle w:val="ListParagraph"/>
        <w:numPr>
          <w:ilvl w:val="0"/>
          <w:numId w:val="1"/>
        </w:numPr>
        <w:spacing w:after="60"/>
      </w:pPr>
      <w:r>
        <w:t xml:space="preserve">Nivel 5 — Jefatura / Gerencia de Área</w:t>
      </w:r>
    </w:p>
    <w:p>
      <w:pPr>
        <w:pStyle w:val="ListParagraph"/>
        <w:numPr>
          <w:ilvl w:val="0"/>
          <w:numId w:val="1"/>
        </w:numPr>
        <w:spacing w:after="60"/>
      </w:pPr>
      <w:r>
        <w:t xml:space="preserve">Nivel 6 — Dirección / Alta Gerencia</w:t>
      </w:r>
    </w:p>
    <w:p>
      <w:pPr>
        <w:spacing w:after="150"/>
      </w:pPr>
      <w:r>
        <w:t xml:space="preserve">RRHH ubica cualquier puesto de su organigrama en uno de estos 6 niveles por función, sin importar el nombre interno del cargo.</w:t>
      </w:r>
    </w:p>
    <w:p>
      <w:pPr>
        <w:spacing w:after="150"/>
      </w:pPr>
      <w:r>
        <w:rPr>
          <w:b/>
          <w:bCs/>
        </w:rPr>
        <w:t xml:space="preserve">[HECHO] </w:t>
      </w:r>
      <w:r>
        <w:t xml:space="preserve"> George señaló (2026-09-10) que "¿tiene personal a cargo?" es una pregunta independiente del nivel, no parte de la escala: no es lo mismo un puesto Operativo con personal a cargo que uno sin, ni un puesto de Dirección con personal a cargo que uno sin. Por eso, además del nivel 1-6, RRHH responde siempre esta segunda pregunta binaria (Sí/No), que suma un incremento adicional al multiplicador de ese nivel, sin importar cuál sea.</w:t>
      </w:r>
    </w:p>
    <w:p>
      <w:pPr>
        <w:spacing w:after="150"/>
      </w:pPr>
      <w:r>
        <w:t xml:space="preserve">12.2 El nivel de puesto (más el incremento por personal a cargo) se traduce en un multiplicador que se aplica sobre el Puntaje de Riesgo Base (PRB, Sección 5-6), antes de convertirlo al IGI (Sección 7) y antes del tope estructural del 95% (Sección 8):</w:t>
      </w:r>
    </w:p>
    <w:p>
      <w:pPr>
        <w:spacing w:after="150"/>
      </w:pPr>
      <w:r>
        <w:rPr>
          <w:rFonts w:ascii="Courier New" w:cs="Courier New" w:eastAsia="Courier New" w:hAnsi="Courier New"/>
        </w:rPr>
        <w:t xml:space="preserve">PRB_ajustado_por_puesto = MIN(1, PRB × Multiplicador_final)        IGI_reportado = (1 − PRB_ajustado_por_puesto) × 100 × 0.95</w:t>
      </w:r>
    </w:p>
    <w:p>
      <w:pPr>
        <w:spacing w:after="150"/>
      </w:pPr>
      <w:r>
        <w:rPr>
          <w:b/>
          <w:bCs/>
        </w:rPr>
        <w:t xml:space="preserve">[INFERENCIA] </w:t>
      </w:r>
      <w:r>
        <w:t xml:space="preserve"> El multiplicador se aplica sobre el PRB (riesgo, alto = peor), nunca directamente sobre el IGI ya convertido a integridad: como el IGI es 'más alto = mejor' (Sección 1), multiplicarlo directamente por un número mayor a 1 lo subiría, que sería el efecto contrario a 'ser más exigente'. Amplificando el PRB antes de convertirlo, un puesto de mayor jerarquía sí obtiene un IGI más bajo (peor) que uno de menor jerarquía, para el mismo patrón de respuestas. Aplicar el mismo multiplicador a las 12 dimensiones por igual y luego renormalizar los pesos a 100% (en vez de aplicarlo sobre el PRB ya sumado) se cancelaría matemáticamente y no cambiaría el resultado — por eso el multiplicador se aplica sobre el PRB consolidado, no sobre los pesos individuales. Los valores exactos de la tabla de multiplicadores por nivel no se documentan en este archivo (son parte de la fórmula operativa del negocio); viven en CONFIDENCIAL_Formulas_Calculo_IGI.docx y en Fase6_Matriz_Scoring.xlsx.</w:t>
      </w:r>
    </w:p>
    <w:p>
      <w:pPr>
        <w:spacing w:after="150"/>
      </w:pPr>
      <w:r>
        <w:rPr>
          <w:b/>
          <w:bCs/>
        </w:rPr>
        <w:t xml:space="preserve">[HIPÓTESIS] </w:t>
      </w:r>
      <w:r>
        <w:t xml:space="preserve"> Por ahora el multiplicador es el mismo para las 12 dimensiones Núcleo dentro de un mismo nivel de puesto; cuáles dimensiones específicas deben pesar más en cada nivel (por ejemplo, Fraude y Soborno con más peso en Dirección, Robo y Abuso de Recursos con más peso en Operativo) queda para una fase posterior de refinamiento, una vez exista más criterio de negocio o datos piloto por nivel de puesto.</w:t>
      </w:r>
    </w:p>
    <w:p>
      <w:pPr>
        <w:spacing w:after="150"/>
      </w:pPr>
      <w:r>
        <w:t xml:space="preserve">Este multiplicador solo aplica al PRB/IGI (dimensiones Núcleo); las dimensiones de Factores Contextuales no se ven afectadas, ya que nunca entran al PRB ni al IGI (Sección 5).</w:t>
      </w:r>
    </w:p>
    <w:p>
      <w:pPr>
        <w:pStyle w:val="Heading1"/>
        <w:spacing w:after="200" w:before="400"/>
      </w:pPr>
      <w:r>
        <w:t xml:space="preserve">13. Resumen de cambios respecto a la versión v2 (75 reactivos)</w:t>
      </w:r>
    </w:p>
    <w:p>
      <w:pPr>
        <w:pStyle w:val="ListParagraph"/>
        <w:numPr>
          <w:ilvl w:val="0"/>
          <w:numId w:val="1"/>
        </w:numPr>
        <w:spacing w:after="100"/>
      </w:pPr>
      <w:r>
        <w:t xml:space="preserve">El número de reactivos por dimensión pasa de 4 (1 par espejo, solo en Núcleo) a 10 (5 pares espejo completos, DECISIONS.md punto 28), ahora en las 21 dimensiones por igual — incluidas las Factores Contextuales, que hasta la versión anterior se quedaban en 3 reactivos sin par espejo obligatorio. El banco total pasa de 75 a 210 reactivos (21 × 10). Cada reactivo pasa de 4 a 5 variantes de redacción, por lo que el banco completo de textos pasa de 300 a 1,050. La fórmula de los Pasos 1 a 3 no cambia, solo el número de reactivos que promedia el Paso 3.</w:t>
      </w:r>
    </w:p>
    <w:p>
      <w:pPr>
        <w:pStyle w:val="ListParagraph"/>
        <w:numPr>
          <w:ilvl w:val="0"/>
          <w:numId w:val="1"/>
        </w:numPr>
        <w:spacing w:after="100"/>
      </w:pPr>
      <w:r>
        <w:t xml:space="preserve">Se corrige la orientación del índice (Secciones 1 y 7): el IGI ahora es 'más alto = mejor' (mayor integridad), en vez de un índice de riesgo. El cálculo ponderado que antes se llamaba directamente 'IGI' ahora es un valor interno, el Puntaje de Riesgo Base (PRB), y el IGI reportado es su complemento. El concepto de 'IIC' desaparece como índice aparte.</w:t>
      </w:r>
    </w:p>
    <w:p>
      <w:pPr>
        <w:pStyle w:val="ListParagraph"/>
        <w:numPr>
          <w:ilvl w:val="0"/>
          <w:numId w:val="1"/>
        </w:numPr>
        <w:spacing w:after="100"/>
      </w:pPr>
      <w:r>
        <w:t xml:space="preserve">Se agrega el tope estructural del 95% (Sección 8), que no existía en la versión anterior.</w:t>
      </w:r>
    </w:p>
    <w:p>
      <w:pPr>
        <w:pStyle w:val="ListParagraph"/>
        <w:numPr>
          <w:ilvl w:val="0"/>
          <w:numId w:val="1"/>
        </w:numPr>
        <w:spacing w:after="100"/>
      </w:pPr>
      <w:r>
        <w:t xml:space="preserve">Se agrega el error estándar de medición (SEM) y el intervalo de confianza del 95% del IGI (Sección 9, DECISIONS.md punto 32), como criterio de rigor psicométrico: el IGI deja de reportarse solo como número puntual, aunque el intervalo mismo quede [PENDIENTE DE DATO PILOTO] hasta la Fase 8-9.</w:t>
      </w:r>
    </w:p>
    <w:p>
      <w:pPr>
        <w:pStyle w:val="ListParagraph"/>
        <w:numPr>
          <w:ilvl w:val="0"/>
          <w:numId w:val="1"/>
        </w:numPr>
        <w:spacing w:after="100"/>
      </w:pPr>
      <w:r>
        <w:t xml:space="preserve">Se agregan los 6 niveles de corte y el semáforo de 3 colores (Sección 10), aplicables al IGI general y a cada dimensión, ahora en orientación de integridad (Nivel 1 = peor, Nivel 6 = mejor).</w:t>
      </w:r>
    </w:p>
    <w:p>
      <w:pPr>
        <w:pStyle w:val="ListParagraph"/>
        <w:numPr>
          <w:ilvl w:val="0"/>
          <w:numId w:val="1"/>
        </w:numPr>
        <w:spacing w:after="100"/>
      </w:pPr>
      <w:r>
        <w:t xml:space="preserve">Se corrige el tratamiento de invalidación (Sección 11): ya no excluye ni renormaliza, solo cambia el color de presentación a gris. Además, pasa de 4 a 5 indicadores de validez del protocolo con la Escala de Deseabilidad Social (Sección 11.3, DECISIONS.md punto 35, Fase 12 Sección 7), que detecta manejo de impresión con su propia bandera y advertencia, sin entrar nunca al cálculo del IGI ni de ninguna dimensión.</w:t>
      </w:r>
    </w:p>
    <w:p>
      <w:pPr>
        <w:pStyle w:val="ListParagraph"/>
        <w:numPr>
          <w:ilvl w:val="0"/>
          <w:numId w:val="1"/>
        </w:numPr>
        <w:spacing w:after="100"/>
      </w:pPr>
      <w:r>
        <w:t xml:space="preserve">Se agrega el nivel de exigencia por jerarquía de puesto (Sección 12), aplicado sobre el PRB antes de convertirlo a IGI.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2026-09-15T13:46:56.231Z</dcterms:created>
  <dcterms:modified xsi:type="dcterms:W3CDTF">2026-09-15T13:46:56.231Z</dcterms:modified>
</cp:coreProperties>
</file>

<file path=docProps/custom.xml><?xml version="1.0" encoding="utf-8"?>
<Properties xmlns="http://schemas.openxmlformats.org/officeDocument/2006/custom-properties" xmlns:vt="http://schemas.openxmlformats.org/officeDocument/2006/docPropsVTypes"/>
</file>