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8 — Marco de Normas y Plan de Recolección</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define cómo se calculará la norma poblacional del instrumento una vez existan datos piloto reales, y un plan concreto de recolección de esos datos. Conforme a DECISIONS.md (punto 6), este documento NO inventa medias, desviaciones estándar ni tamaños muestrales de norma reales: todo valor de esa naturaleza se deja marcado como [PENDIENTE DE DATO PILOTO]. Lo que sí se define aquí son procedimientos, fórmulas, tamaños muestrales objetivo (metas de recolección, no resultados) y un plan operativo de recolección.</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150" w:before="300"/>
      </w:pPr>
      <w:r>
        <w:t xml:space="preserve">1. Por qué el instrumento necesita una norma</w:t>
      </w:r>
    </w:p>
    <w:p>
      <w:pPr>
        <w:spacing w:after="140"/>
      </w:pPr>
      <w:r>
        <w:rPr>
          <w:rFonts w:ascii="Calibri" w:cs="Calibri" w:eastAsia="Calibri" w:hAnsi="Calibri"/>
          <w:sz w:val="22"/>
          <w:szCs w:val="22"/>
        </w:rPr>
        <w:t xml:space="preserve">El Índice General de Integridad (IGI), definido en la Fase 6, es un puntaje absoluto en una escala de 0 a 100 (con un tope estructural de 95, ver DECISIONS.md punto 20). Por sí solo no indican si un valor de, por ejemplo, 35/100 es alto, bajo o típico para una persona de un país, industria o rango de edad determinado. Una norma poblacional permite traducir ese puntaje absoluto en una posición relativa (percentil o puntuación Z) frente a un grupo de referencia comparable, que es lo que finalmente hace interpretable el resultado tanto para la capa individual (perfil) como para la capa empresarial (reporte de riesgo).</w:t>
      </w:r>
    </w:p>
    <w:p>
      <w:pPr>
        <w:pStyle w:val="Heading1"/>
        <w:spacing w:after="150" w:before="300"/>
      </w:pPr>
      <w:r>
        <w:t xml:space="preserve">2. Procedimiento de estandarización (cuando existan datos reales)</w:t>
      </w:r>
    </w:p>
    <w:p>
      <w:pPr>
        <w:pStyle w:val="Heading2"/>
        <w:spacing w:after="120" w:before="240"/>
      </w:pPr>
      <w:r>
        <w:t xml:space="preserve">2.1 Puntuación Z</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Z_persona = (IGI_persona − Media_muestra_referencia) / DesviaciónEstándar_muestra_referencia</w:t>
      </w:r>
    </w:p>
    <w:p>
      <w:pPr>
        <w:spacing w:after="140"/>
      </w:pPr>
      <w:r>
        <w:rPr>
          <w:rFonts w:ascii="Calibri" w:cs="Calibri" w:eastAsia="Calibri" w:hAnsi="Calibri"/>
          <w:sz w:val="22"/>
          <w:szCs w:val="22"/>
        </w:rPr>
        <w:t xml:space="preserve">[HECHO] Media_muestra_referencia y DesviaciónEstándar_muestra_referencia son, por ahora, cantidades desconocidas: se calcularán únicamente a partir de datos reales recolectados según el plan de la Sección 4, nunca estimadas o supuestas. Hasta entonces, todo reporte del instrumento debe mostrar el IGI en su escala absoluta, sin Z ni percentil, o con la leyenda explícita [PENDIENTE DE DATO PILOTO].</w:t>
      </w:r>
    </w:p>
    <w:p>
      <w:pPr>
        <w:pStyle w:val="Heading2"/>
        <w:spacing w:after="120" w:before="240"/>
      </w:pPr>
      <w:r>
        <w:t xml:space="preserve">2.2 Percentiles</w:t>
      </w:r>
    </w:p>
    <w:p>
      <w:pPr>
        <w:spacing w:after="140"/>
      </w:pPr>
      <w:r>
        <w:rPr>
          <w:rFonts w:ascii="Calibri" w:cs="Calibri" w:eastAsia="Calibri" w:hAnsi="Calibri"/>
          <w:sz w:val="22"/>
          <w:szCs w:val="22"/>
        </w:rPr>
        <w:t xml:space="preserve">Una vez calculada la distribución de IGI de la muestra de referencia, el percentil de una persona se obtiene ubicando su IGI dentro de esa distribución empírica (por ejemplo, mediante el rango percentil empírico o, si la distribución se aproxima razonablemente a una normal, a partir de la puntuación Z y la función de distribución acumulada normal). [INFERENCIA] Se prefiere el percentil empírico sobre el paramétrico como método principal, porque no asume normalidad de la distribución del IGI, algo que no puede confirmarse hasta la Fase 9 (análisis de distribución de puntajes).</w:t>
      </w:r>
    </w:p>
    <w:p>
      <w:pPr>
        <w:pStyle w:val="Heading2"/>
        <w:spacing w:after="120" w:before="240"/>
      </w:pPr>
      <w:r>
        <w:t xml:space="preserve">2.3 Segmentación de la norma</w:t>
      </w:r>
    </w:p>
    <w:p>
      <w:pPr>
        <w:spacing w:after="140"/>
      </w:pPr>
      <w:r>
        <w:rPr>
          <w:rFonts w:ascii="Calibri" w:cs="Calibri" w:eastAsia="Calibri" w:hAnsi="Calibri"/>
          <w:sz w:val="22"/>
          <w:szCs w:val="22"/>
        </w:rPr>
        <w:t xml:space="preserve">[HECHO] La norma no debe calcularse como un único grupo de referencia global fijo: existe un Baremo General (toda la muestra combinada, todos los países) desde el inicio del piloto, y se agregan Baremos por país que se activan automáticamente en cuanto cada país acumula suficiente volumen propio (Sección 2.4, DECISIONS.md punto 39). Además de esa segmentación por país —que es obligatoria y no depende de que la persona la declare—, la norma puede segmentarse adicionalmente, cuando el tamaño de muestra por segmento lo permita (ver Sección 3), por las siguientes variables demográficas opcionales:</w:t>
      </w:r>
    </w:p>
    <w:p>
      <w:pPr>
        <w:pStyle w:val="ListParagraph"/>
        <w:numPr>
          <w:ilvl w:val="0"/>
          <w:numId w:val="2"/>
        </w:numPr>
        <w:spacing w:after="80"/>
      </w:pPr>
      <w:r>
        <w:rPr>
          <w:rFonts w:ascii="Calibri" w:cs="Calibri" w:eastAsia="Calibri" w:hAnsi="Calibri"/>
          <w:sz w:val="22"/>
          <w:szCs w:val="22"/>
        </w:rPr>
        <w:t xml:space="preserve">(País ya no está en esta lista de variables opcionales: pasó a ser la segmentación obligatoria de la Sección 2.4, con su propio mecanismo de Baremo General + baremos por país, precisamente porque las normas sociales de referencia para varias dimensiones — p. ej. Impunidad, Ludopatía — pueden variar culturalmente entre países).</w:t>
      </w:r>
    </w:p>
    <w:p>
      <w:pPr>
        <w:pStyle w:val="ListParagraph"/>
        <w:numPr>
          <w:ilvl w:val="0"/>
          <w:numId w:val="2"/>
        </w:numPr>
        <w:spacing w:after="80"/>
      </w:pPr>
      <w:r>
        <w:rPr>
          <w:rFonts w:ascii="Calibri" w:cs="Calibri" w:eastAsia="Calibri" w:hAnsi="Calibri"/>
          <w:sz w:val="22"/>
          <w:szCs w:val="22"/>
        </w:rPr>
        <w:t xml:space="preserve">Industria o sector (algunas dimensiones, como Conflicto de Interés o Integridad Documental, pueden tener bases distintas según el sector).</w:t>
      </w:r>
    </w:p>
    <w:p>
      <w:pPr>
        <w:pStyle w:val="ListParagraph"/>
        <w:numPr>
          <w:ilvl w:val="0"/>
          <w:numId w:val="2"/>
        </w:numPr>
        <w:spacing w:after="80"/>
      </w:pPr>
      <w:r>
        <w:rPr>
          <w:rFonts w:ascii="Calibri" w:cs="Calibri" w:eastAsia="Calibri" w:hAnsi="Calibri"/>
          <w:sz w:val="22"/>
          <w:szCs w:val="22"/>
        </w:rPr>
        <w:t xml:space="preserve">Tipo de aplicación: versión individual (B2C) vs. versión empresarial (B2B), dado que la motivación y el contexto de respuesta pueden diferir entre quien toma el test por curiosidad personal y quien lo toma como parte de un proceso de selección.</w:t>
      </w:r>
    </w:p>
    <w:p>
      <w:pPr>
        <w:spacing w:after="140"/>
      </w:pPr>
      <w:r>
        <w:rPr>
          <w:rFonts w:ascii="Calibri" w:cs="Calibri" w:eastAsia="Calibri" w:hAnsi="Calibri"/>
          <w:sz w:val="22"/>
          <w:szCs w:val="22"/>
        </w:rPr>
        <w:t xml:space="preserve">[INFERENCIA] Mientras un país no acumule volumen suficiente para sostener un baremo propio de forma fiable, las personas de ese país se comparan contra el Baremo General, indicando explícitamente en el reporte que es el baremo usado, sujeto a revisión conforme ese país acumule su propio volumen (ver Sección 2.4).</w:t>
      </w:r>
    </w:p>
    <w:p>
      <w:pPr>
        <w:pStyle w:val="Heading2"/>
        <w:spacing w:after="120" w:before="240"/>
      </w:pPr>
      <w:r>
        <w:t xml:space="preserve">2.4 Arquitectura de baremos: uno General/Global + uno por país (2026-09-11)</w:t>
      </w:r>
    </w:p>
    <w:p>
      <w:pPr>
        <w:spacing w:after="140"/>
      </w:pPr>
      <w:r>
        <w:rPr>
          <w:rFonts w:ascii="Calibri" w:cs="Calibri" w:eastAsia="Calibri" w:hAnsi="Calibri"/>
          <w:sz w:val="22"/>
          <w:szCs w:val="22"/>
        </w:rPr>
        <w:t xml:space="preserve">[HECHO] A petición explícita de George, el instrumento no depende de un solo baremo mundial ni asume que las normas de referencia son iguales entre países (DECISIONS.md punto 39, Fase 12 Sección 8B). Se define una arquitectura de dos niveles que se construye incrementalmente con la data real, identificando siempre el país de origen de cada respuesta.</w:t>
      </w:r>
    </w:p>
    <w:p>
      <w:pPr>
        <w:pStyle w:val="Heading3"/>
        <w:spacing w:after="100" w:before="180"/>
      </w:pPr>
      <w:r>
        <w:t xml:space="preserve">País de aplicación: dato técnico obligatorio, no una pregunta demográfica</w:t>
      </w:r>
    </w:p>
    <w:p>
      <w:pPr>
        <w:spacing w:after="140"/>
      </w:pPr>
      <w:r>
        <w:rPr>
          <w:rFonts w:ascii="Calibri" w:cs="Calibri" w:eastAsia="Calibri" w:hAnsi="Calibri"/>
          <w:sz w:val="22"/>
          <w:szCs w:val="22"/>
        </w:rPr>
        <w:t xml:space="preserve">[HECHO] A diferencia de las variables demográficas de la Sección 5.4 (edad, género, educación, industria), que siguen siendo opcionales por diseño de privacidad, el país de aplicación es un campo técnico obligatorio — sin él nunca podría construirse ningún baremo por país, sin importar cuántos datos se acumulen con el tiempo. Se captura automáticamente, sin depender de que la persona lo declare voluntariamente:</w:t>
      </w:r>
    </w:p>
    <w:p>
      <w:pPr>
        <w:pStyle w:val="ListParagraph"/>
        <w:numPr>
          <w:ilvl w:val="0"/>
          <w:numId w:val="2"/>
        </w:numPr>
        <w:spacing w:after="80"/>
      </w:pPr>
      <w:r>
        <w:rPr>
          <w:rFonts w:ascii="Calibri" w:cs="Calibri" w:eastAsia="Calibri" w:hAnsi="Calibri"/>
          <w:sz w:val="22"/>
          <w:szCs w:val="22"/>
        </w:rPr>
        <w:t xml:space="preserve">Canal WhatsApp: código de país del número desde el que se aplica el test.</w:t>
      </w:r>
    </w:p>
    <w:p>
      <w:pPr>
        <w:pStyle w:val="ListParagraph"/>
        <w:numPr>
          <w:ilvl w:val="0"/>
          <w:numId w:val="2"/>
        </w:numPr>
        <w:spacing w:after="80"/>
      </w:pPr>
      <w:r>
        <w:rPr>
          <w:rFonts w:ascii="Calibri" w:cs="Calibri" w:eastAsia="Calibri" w:hAnsi="Calibri"/>
          <w:sz w:val="22"/>
          <w:szCs w:val="22"/>
        </w:rPr>
        <w:t xml:space="preserve">Canal B2B: país configurado en la cuenta de la empresa cliente.</w:t>
      </w:r>
    </w:p>
    <w:p>
      <w:pPr>
        <w:pStyle w:val="ListParagraph"/>
        <w:numPr>
          <w:ilvl w:val="0"/>
          <w:numId w:val="2"/>
        </w:numPr>
        <w:spacing w:after="80"/>
      </w:pPr>
      <w:r>
        <w:rPr>
          <w:rFonts w:ascii="Calibri" w:cs="Calibri" w:eastAsia="Calibri" w:hAnsi="Calibri"/>
          <w:sz w:val="22"/>
          <w:szCs w:val="22"/>
        </w:rPr>
        <w:t xml:space="preserve">Canal web B2C: selección obligatoria de país al iniciar el test (un solo campo, no se puede continuar sin elegirlo).</w:t>
      </w:r>
    </w:p>
    <w:p>
      <w:pPr>
        <w:pStyle w:val="Heading3"/>
        <w:spacing w:after="100" w:before="180"/>
      </w:pPr>
      <w:r>
        <w:t xml:space="preserve">Los dos niveles de baremo</w:t>
      </w:r>
    </w:p>
    <w:p>
      <w:pPr>
        <w:pStyle w:val="ListParagraph"/>
        <w:numPr>
          <w:ilvl w:val="0"/>
          <w:numId w:val="2"/>
        </w:numPr>
        <w:spacing w:after="80"/>
      </w:pPr>
      <w:r>
        <w:rPr>
          <w:rFonts w:ascii="Calibri" w:cs="Calibri" w:eastAsia="Calibri" w:hAnsi="Calibri"/>
          <w:sz w:val="22"/>
          <w:szCs w:val="22"/>
        </w:rPr>
        <w:t xml:space="preserve">Baremo General (Global): muestra piloto combinada de todos los países, sin segmentar. Es el único baremo que existe al inicio del piloto (meta de 400-800 casos combinados, Sección 3), y el que sigue usando cualquier persona cuyo país todavía no tenga volumen propio.</w:t>
      </w:r>
    </w:p>
    <w:p>
      <w:pPr>
        <w:pStyle w:val="ListParagraph"/>
        <w:numPr>
          <w:ilvl w:val="0"/>
          <w:numId w:val="2"/>
        </w:numPr>
        <w:spacing w:after="80"/>
      </w:pPr>
      <w:r>
        <w:rPr>
          <w:rFonts w:ascii="Calibri" w:cs="Calibri" w:eastAsia="Calibri" w:hAnsi="Calibri"/>
          <w:sz w:val="22"/>
          <w:szCs w:val="22"/>
        </w:rPr>
        <w:t xml:space="preserve">Baremos por país: se activan automáticamente, país por país, en cuanto ese país específico acumula ≥300 casos propios (mismo umbral ya definido en la tabla de la Sección 3, fila "Norma por país/mercado prioritario"). Mientras un país no alcance ese mínimo, sus personas se siguen comparando contra el Baremo General — nunca contra el baremo de otro país distinto ("baremo prestado"), para no introducir sesgo cultural cruzado sin evidencia de que sea válido hacerlo.</w:t>
      </w:r>
    </w:p>
    <w:p>
      <w:pPr>
        <w:spacing w:after="140"/>
      </w:pPr>
      <w:r>
        <w:rPr>
          <w:rFonts w:ascii="Calibri" w:cs="Calibri" w:eastAsia="Calibri" w:hAnsi="Calibri"/>
          <w:sz w:val="22"/>
          <w:szCs w:val="22"/>
        </w:rPr>
        <w:t xml:space="preserve">[HECHO] Recalibración: cada baremo (el General y cada uno por país) se actualiza de forma independiente, con la misma periodicidad ya definida en la Sección 4 (cada +20% de casos nuevos en ese baremo específico, o cada 6 meses, lo que ocurra primero). Transparencia obligatoria: todo percentil o puntuación Z mostrado en un reporte debe indicar explícitamente contra qué baremo se calculó (ej. "percentil calculado contra el Baremo General (n=612)" o "... contra el Baremo de Colombia (n=418)"), para que quien lee el reporte sepa qué tan específico es ese resultado. Si una persona pasa de compararse contra el Baremo General a compararse contra el baremo de su país entre dos aplicaciones, el reporte debe explicar ese cambio, no ocultarlo.</w:t>
      </w:r>
    </w:p>
    <w:p>
      <w:pPr>
        <w:pStyle w:val="Heading1"/>
        <w:spacing w:after="150" w:before="300"/>
      </w:pPr>
      <w:r>
        <w:t xml:space="preserve">3. Tamaño muestral objetivo (metas de recolección, no resultados)</w:t>
      </w:r>
    </w:p>
    <w:p>
      <w:pPr>
        <w:spacing w:after="140"/>
      </w:pPr>
      <w:r>
        <w:rPr>
          <w:rFonts w:ascii="Calibri" w:cs="Calibri" w:eastAsia="Calibri" w:hAnsi="Calibri"/>
          <w:b/>
          <w:bCs/>
          <w:sz w:val="22"/>
          <w:szCs w:val="22"/>
        </w:rPr>
        <w:t xml:space="preserve">[HIPÓTESIS] </w:t>
      </w:r>
      <w:r>
        <w:rPr>
          <w:rFonts w:ascii="Calibri" w:cs="Calibri" w:eastAsia="Calibri" w:hAnsi="Calibri"/>
          <w:sz w:val="22"/>
          <w:szCs w:val="22"/>
        </w:rPr>
        <w:t xml:space="preserve">Los siguientes tamaños son metas de recolección basadas en convenciones generales de la literatura psicométrica para análisis factorial y cálculo de normas estables (p. ej., reglas de al menos 5 a 10 respondientes por reactivo para un análisis factorial exploratorio preliminar, y muestras de varios cientos de casos por segmento para normas con error estándar razonablemente pequeño). No son, en ningún caso, resultados de una muestra ya recolectada.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400"/>
      </w:tblGrid>
      <w:tr>
        <w:tc>
          <w:tcPr>
            <w:tcW w:type="dxa" w:w="36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Etapa / segmento</w:t>
            </w:r>
          </w:p>
        </w:tc>
        <w:tc>
          <w:tcPr>
            <w:tcW w:type="dxa" w:w="2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Meta de casos</w:t>
            </w:r>
          </w:p>
        </w:tc>
        <w:tc>
          <w:tcPr>
            <w:tcW w:type="dxa" w:w="3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Uso previsto</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Piloto exploratorio inicial (agregado, sin segmentar)</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400-800 casos (≈ 2-4 por reactivo de los 210 del banco vigente, DECISIONS.md punto 28)</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Análisis factorial exploratorio preliminar y depuración de reactivos (Fase 9)</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global provisional</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300 casos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Primera norma no segmentada, de uso interino</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por país/mercado prioritario</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300 casos por país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Activa automáticamente el Baremo de ese país (reemplaza al Baremo General solo para esa población, Sección 2.4)</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por industria prioritaria (uso B2B)</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200 casos por industria</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Norma segmentada por sector para clientes empresariales</w:t>
            </w:r>
          </w:p>
        </w:tc>
      </w:tr>
    </w:tbl>
    <w:p>
      <w:pPr>
        <w:spacing w:after="200"/>
      </w:pPr>
    </w:p>
    <w:p>
      <w:pPr>
        <w:spacing w:after="140"/>
      </w:pPr>
      <w:r>
        <w:rPr>
          <w:rFonts w:ascii="Calibri" w:cs="Calibri" w:eastAsia="Calibri" w:hAnsi="Calibri"/>
          <w:sz w:val="22"/>
          <w:szCs w:val="22"/>
        </w:rPr>
        <w:t xml:space="preserve">[INFERENCIA] Estas metas son iniciales y deliberadamente conservadoras frente a los estándares de instrumentos comerciales maduros (que suelen documentar muestras normativas de miles de casos); se plantean como el umbral mínimo razonable para publicar una primera norma provisional, no como el estándar final deseable. La Fase 9 debe revisar estas metas a la luz de los resultados del análisis factorial y de fiabilidad.</w:t>
      </w:r>
    </w:p>
    <w:p>
      <w:pPr>
        <w:pStyle w:val="Heading1"/>
        <w:spacing w:after="150" w:before="300"/>
      </w:pPr>
      <w:r>
        <w:t xml:space="preserve">4. Periodicidad de recalibración</w:t>
      </w:r>
    </w:p>
    <w:p>
      <w:pPr>
        <w:pStyle w:val="ListParagraph"/>
        <w:numPr>
          <w:ilvl w:val="0"/>
          <w:numId w:val="2"/>
        </w:numPr>
        <w:spacing w:after="80"/>
      </w:pPr>
      <w:r>
        <w:rPr>
          <w:rFonts w:ascii="Calibri" w:cs="Calibri" w:eastAsia="Calibri" w:hAnsi="Calibri"/>
          <w:sz w:val="22"/>
          <w:szCs w:val="22"/>
        </w:rPr>
        <w:t xml:space="preserve">Recalibración menor (ajuste de percentiles y medias/DE de la norma vigente, sin tocar el modelo): [HIPÓTESIS] cada vez que el volumen de casos nuevos acumulados equivalga a un incremento de al menos 20% sobre el tamaño de la muestra normativa vigente, o cada 6 meses, lo que ocurra primero.</w:t>
      </w:r>
    </w:p>
    <w:p>
      <w:pPr>
        <w:pStyle w:val="ListParagraph"/>
        <w:numPr>
          <w:ilvl w:val="0"/>
          <w:numId w:val="2"/>
        </w:numPr>
        <w:spacing w:after="80"/>
      </w:pPr>
      <w:r>
        <w:rPr>
          <w:rFonts w:ascii="Calibri" w:cs="Calibri" w:eastAsia="Calibri" w:hAnsi="Calibri"/>
          <w:sz w:val="22"/>
          <w:szCs w:val="22"/>
        </w:rPr>
        <w:t xml:space="preserve">Recalibración mayor (revisión de pesos de dimensión, valores psicométricos por reactivo, posible migración a TRI/IRT conforme a DECISIONS.md punto 2): [HIPÓTESIS] anualmente, o antes si el análisis de fiabilidad de la Fase 9 detecta un deterioro relevante en algún indicador (por ejemplo, caída sostenida del alfa/omega de alguna dimensión).</w:t>
      </w:r>
    </w:p>
    <w:p>
      <w:pPr>
        <w:pStyle w:val="ListParagraph"/>
        <w:numPr>
          <w:ilvl w:val="0"/>
          <w:numId w:val="2"/>
        </w:numPr>
        <w:spacing w:after="80"/>
      </w:pPr>
      <w:r>
        <w:rPr>
          <w:rFonts w:ascii="Calibri" w:cs="Calibri" w:eastAsia="Calibri" w:hAnsi="Calibri"/>
          <w:sz w:val="22"/>
          <w:szCs w:val="22"/>
        </w:rPr>
        <w:t xml:space="preserve">Cualquier cambio en el banco de reactivos (adición, eliminación o modificación de un reactivo) obliga a una recalibración mayor de la dimensión afectada antes de volver a usarla en producción.</w:t>
      </w:r>
    </w:p>
    <w:p>
      <w:pPr>
        <w:spacing w:after="140"/>
      </w:pPr>
      <w:r>
        <w:rPr>
          <w:rFonts w:ascii="Calibri" w:cs="Calibri" w:eastAsia="Calibri" w:hAnsi="Calibri"/>
          <w:sz w:val="22"/>
          <w:szCs w:val="22"/>
        </w:rPr>
        <w:t xml:space="preserve">[HECHO] Todo el historial de recalibraciones (fecha, tamaño de muestra usado, cambios aplicados) debe quedar documentado en una bitácora de versiones del instrumento, de forma análoga a cómo este proyecto documenta su propio progreso en PROGRESS.json.</w:t>
      </w:r>
    </w:p>
    <w:p>
      <w:pPr>
        <w:pStyle w:val="Heading1"/>
        <w:spacing w:after="150" w:before="300"/>
      </w:pPr>
      <w:r>
        <w:t xml:space="preserve">5. Plan de recolección de datos piloto</w:t>
      </w:r>
    </w:p>
    <w:p>
      <w:pPr>
        <w:pStyle w:val="Heading2"/>
        <w:spacing w:after="120" w:before="240"/>
      </w:pPr>
      <w:r>
        <w:t xml:space="preserve">5.1 A quién aplicar</w:t>
      </w:r>
    </w:p>
    <w:p>
      <w:pPr>
        <w:spacing w:after="140"/>
      </w:pPr>
      <w:r>
        <w:rPr>
          <w:rFonts w:ascii="Calibri" w:cs="Calibri" w:eastAsia="Calibri" w:hAnsi="Calibri"/>
          <w:sz w:val="22"/>
          <w:szCs w:val="22"/>
        </w:rPr>
        <w:t xml:space="preserve">[INFERENCIA] Dado el modelo de negocio híbrido definido en DECISIONS.md (punto 7), el plan de recolección aprovecha ambos canales del producto:</w:t>
      </w:r>
    </w:p>
    <w:p>
      <w:pPr>
        <w:pStyle w:val="ListParagraph"/>
        <w:numPr>
          <w:ilvl w:val="0"/>
          <w:numId w:val="2"/>
        </w:numPr>
        <w:spacing w:after="80"/>
      </w:pPr>
      <w:r>
        <w:rPr>
          <w:rFonts w:ascii="Calibri" w:cs="Calibri" w:eastAsia="Calibri" w:hAnsi="Calibri"/>
          <w:sz w:val="22"/>
          <w:szCs w:val="22"/>
        </w:rPr>
        <w:t xml:space="preserve">Canal B2C (individuos): usuarios que completan voluntariamente la versión gratuita del test, tras aceptar explícitamente el uso de sus respuestas anonimizadas con fines de investigación y mejora del instrumento (ver Sección 5.3). Este canal aporta volumen alto y diversidad demográfica amplia, aunque sin un criterio externo validado de conducta real (autoselección, motivación de autoconocimiento).</w:t>
      </w:r>
    </w:p>
    <w:p>
      <w:pPr>
        <w:pStyle w:val="ListParagraph"/>
        <w:numPr>
          <w:ilvl w:val="0"/>
          <w:numId w:val="2"/>
        </w:numPr>
        <w:spacing w:after="80"/>
      </w:pPr>
      <w:r>
        <w:rPr>
          <w:rFonts w:ascii="Calibri" w:cs="Calibri" w:eastAsia="Calibri" w:hAnsi="Calibri"/>
          <w:sz w:val="22"/>
          <w:szCs w:val="22"/>
        </w:rPr>
        <w:t xml:space="preserve">Canal B2B (empresas piloto voluntarias): un número reducido de organizaciones clientes o aliadas que acepten aplicar el instrumento como parte de un piloto de validación, idealmente con acceso posterior (agregado y anonimizado) a indicadores de desempeño o incidentes disciplinarios, lo que permite construir validez de criterio (ver Fase 9). Este canal aporta menor volumen pero mayor calidad de contexto laboral real.</w:t>
      </w:r>
    </w:p>
    <w:p>
      <w:pPr>
        <w:pStyle w:val="Heading2"/>
        <w:spacing w:after="120" w:before="240"/>
      </w:pPr>
      <w:r>
        <w:t xml:space="preserve">5.2 Cuántos casos mínimos</w:t>
      </w:r>
    </w:p>
    <w:p>
      <w:pPr>
        <w:spacing w:after="140"/>
      </w:pPr>
      <w:r>
        <w:rPr>
          <w:rFonts w:ascii="Calibri" w:cs="Calibri" w:eastAsia="Calibri" w:hAnsi="Calibri"/>
          <w:sz w:val="22"/>
          <w:szCs w:val="22"/>
        </w:rPr>
        <w:t xml:space="preserve">Se adoptan como mínimos de arranque los mismos definidos en la tabla de la Sección 3: al menos 400 casos combinados (B2C + B2B) antes de ejecutar el primer análisis factorial exploratorio de la Fase 9, y al menos 300 casos antes de publicar cualquier norma, aunque sea provisional y no segmentada.</w:t>
      </w:r>
    </w:p>
    <w:p>
      <w:pPr>
        <w:pStyle w:val="Heading2"/>
        <w:spacing w:after="120" w:before="240"/>
      </w:pPr>
      <w:r>
        <w:t xml:space="preserve">5.3 Cómo obtener consentimiento</w:t>
      </w:r>
    </w:p>
    <w:p>
      <w:pPr>
        <w:pStyle w:val="ListParagraph"/>
        <w:numPr>
          <w:ilvl w:val="0"/>
          <w:numId w:val="2"/>
        </w:numPr>
        <w:spacing w:after="80"/>
      </w:pPr>
      <w:r>
        <w:rPr>
          <w:rFonts w:ascii="Calibri" w:cs="Calibri" w:eastAsia="Calibri" w:hAnsi="Calibri"/>
          <w:sz w:val="22"/>
          <w:szCs w:val="22"/>
        </w:rPr>
        <w:t xml:space="preserve">Consentimiento informado explícito y de opt-in (no premarcado), presentado antes de iniciar el test, en lenguaje simple, indicando: qué se recolecta, con qué fin (mejora y validación del instrumento; en el canal B2B, adicionalmente el fin de evaluación laboral), quién tiene acceso a los datos individuales frente a los datos agregados, y que la participación en el componente de investigación es separable de la administración regular del test cuando la normativa de protección de datos aplicable lo exija.</w:t>
      </w:r>
    </w:p>
    <w:p>
      <w:pPr>
        <w:pStyle w:val="ListParagraph"/>
        <w:numPr>
          <w:ilvl w:val="0"/>
          <w:numId w:val="2"/>
        </w:numPr>
        <w:spacing w:after="80"/>
      </w:pPr>
      <w:r>
        <w:rPr>
          <w:rFonts w:ascii="Calibri" w:cs="Calibri" w:eastAsia="Calibri" w:hAnsi="Calibri"/>
          <w:sz w:val="22"/>
          <w:szCs w:val="22"/>
        </w:rPr>
        <w:t xml:space="preserve">Anonimización o seudonimización de los datos usados para fines normativos y de validación: los identificadores directos (nombre, correo) no deben formar parte del set de datos usado para el análisis psicométrico, que debe trabajar sobre un identificador interno no reversible.</w:t>
      </w:r>
    </w:p>
    <w:p>
      <w:pPr>
        <w:pStyle w:val="ListParagraph"/>
        <w:numPr>
          <w:ilvl w:val="0"/>
          <w:numId w:val="2"/>
        </w:numPr>
        <w:spacing w:after="80"/>
      </w:pPr>
      <w:r>
        <w:rPr>
          <w:rFonts w:ascii="Calibri" w:cs="Calibri" w:eastAsia="Calibri" w:hAnsi="Calibri"/>
          <w:sz w:val="22"/>
          <w:szCs w:val="22"/>
        </w:rPr>
        <w:t xml:space="preserve">[HECHO] No se recolectan datos con fines normativos de menores de edad ni de cualquier persona que no haya dado consentimiento explícito, conforme a las políticas generales de protección de datos que deberá validar el equipo legal de George antes del lanzamiento del piloto (fuera del alcance psicométrico de este documento).</w:t>
      </w:r>
    </w:p>
    <w:p>
      <w:pPr>
        <w:pStyle w:val="ListParagraph"/>
        <w:numPr>
          <w:ilvl w:val="0"/>
          <w:numId w:val="2"/>
        </w:numPr>
        <w:spacing w:after="80"/>
      </w:pPr>
      <w:r>
        <w:rPr>
          <w:rFonts w:ascii="Calibri" w:cs="Calibri" w:eastAsia="Calibri" w:hAnsi="Calibri"/>
          <w:sz w:val="22"/>
          <w:szCs w:val="22"/>
        </w:rPr>
        <w:t xml:space="preserve">Derecho de retiro: la persona debe poder solicitar la eliminación de sus datos del set de investigación en cualquier momento, sin que esto afecte, en el canal B2B, su proceso de evaluación laboral vigente (que se rige por las políticas de datos de esa relación laboral específica, no por el consentimiento de investigación).</w:t>
      </w:r>
    </w:p>
    <w:p>
      <w:pPr>
        <w:pStyle w:val="Heading2"/>
        <w:spacing w:after="120" w:before="240"/>
      </w:pPr>
      <w:r>
        <w:t xml:space="preserve">5.4 Qué variables demográficas y contextuales registrar</w:t>
      </w:r>
    </w:p>
    <w:p>
      <w:pPr>
        <w:spacing w:after="140"/>
      </w:pPr>
      <w:r>
        <w:rPr>
          <w:rFonts w:ascii="Calibri" w:cs="Calibri" w:eastAsia="Calibri" w:hAnsi="Calibri"/>
          <w:sz w:val="22"/>
          <w:szCs w:val="22"/>
        </w:rPr>
        <w:t xml:space="preserve">[HIPÓTESIS] El país de aplicación ya se captura de forma automática y obligatoria por separado (Sección 2.4) — no es parte de esta lista. Para permitir segmentación adicional de normas y el análisis de funcionamiento diferencial de ítems (DIF, ver Fase 9), se recomienda registrar, siempre de forma opcional y explícitamente declarada como tal, estas otras variables:</w:t>
      </w:r>
    </w:p>
    <w:p>
      <w:pPr>
        <w:pStyle w:val="ListParagraph"/>
        <w:numPr>
          <w:ilvl w:val="0"/>
          <w:numId w:val="2"/>
        </w:numPr>
        <w:spacing w:after="80"/>
      </w:pPr>
      <w:r>
        <w:rPr>
          <w:rFonts w:ascii="Calibri" w:cs="Calibri" w:eastAsia="Calibri" w:hAnsi="Calibri"/>
          <w:sz w:val="22"/>
          <w:szCs w:val="22"/>
        </w:rPr>
        <w:t xml:space="preserve">Rango de edad (por tramos, no fecha de nacimiento exacta, para minimizar el riesgo de reidentificación).</w:t>
      </w:r>
    </w:p>
    <w:p>
      <w:pPr>
        <w:pStyle w:val="ListParagraph"/>
        <w:numPr>
          <w:ilvl w:val="0"/>
          <w:numId w:val="2"/>
        </w:numPr>
        <w:spacing w:after="80"/>
      </w:pPr>
      <w:r>
        <w:rPr>
          <w:rFonts w:ascii="Calibri" w:cs="Calibri" w:eastAsia="Calibri" w:hAnsi="Calibri"/>
          <w:sz w:val="22"/>
          <w:szCs w:val="22"/>
        </w:rPr>
        <w:t xml:space="preserve">Género (con opción de no declarar).</w:t>
      </w:r>
    </w:p>
    <w:p>
      <w:pPr>
        <w:pStyle w:val="ListParagraph"/>
        <w:numPr>
          <w:ilvl w:val="0"/>
          <w:numId w:val="2"/>
        </w:numPr>
        <w:spacing w:after="80"/>
      </w:pPr>
      <w:r>
        <w:rPr>
          <w:rFonts w:ascii="Calibri" w:cs="Calibri" w:eastAsia="Calibri" w:hAnsi="Calibri"/>
          <w:sz w:val="22"/>
          <w:szCs w:val="22"/>
        </w:rPr>
        <w:t xml:space="preserve">Nivel educativo alcanzado.</w:t>
      </w:r>
    </w:p>
    <w:p>
      <w:pPr>
        <w:pStyle w:val="ListParagraph"/>
        <w:numPr>
          <w:ilvl w:val="0"/>
          <w:numId w:val="2"/>
        </w:numPr>
        <w:spacing w:after="80"/>
      </w:pPr>
      <w:r>
        <w:rPr>
          <w:rFonts w:ascii="Calibri" w:cs="Calibri" w:eastAsia="Calibri" w:hAnsi="Calibri"/>
          <w:sz w:val="22"/>
          <w:szCs w:val="22"/>
        </w:rPr>
        <w:t xml:space="preserve">Industria o sector de la organización (cuando aplique).</w:t>
      </w:r>
    </w:p>
    <w:p>
      <w:pPr>
        <w:pStyle w:val="ListParagraph"/>
        <w:numPr>
          <w:ilvl w:val="0"/>
          <w:numId w:val="2"/>
        </w:numPr>
        <w:spacing w:after="80"/>
      </w:pPr>
      <w:r>
        <w:rPr>
          <w:rFonts w:ascii="Calibri" w:cs="Calibri" w:eastAsia="Calibri" w:hAnsi="Calibri"/>
          <w:sz w:val="22"/>
          <w:szCs w:val="22"/>
        </w:rPr>
        <w:t xml:space="preserve">Tipo de puesto o nivel jerárquico (operativo, mando medio, dirección; cuando aplique).</w:t>
      </w:r>
    </w:p>
    <w:p>
      <w:pPr>
        <w:pStyle w:val="ListParagraph"/>
        <w:numPr>
          <w:ilvl w:val="0"/>
          <w:numId w:val="2"/>
        </w:numPr>
        <w:spacing w:after="80"/>
      </w:pPr>
      <w:r>
        <w:rPr>
          <w:rFonts w:ascii="Calibri" w:cs="Calibri" w:eastAsia="Calibri" w:hAnsi="Calibri"/>
          <w:sz w:val="22"/>
          <w:szCs w:val="22"/>
        </w:rPr>
        <w:t xml:space="preserve">Antigüedad laboral general y en el puesto actual (cuando aplique).</w:t>
      </w:r>
    </w:p>
    <w:p>
      <w:pPr>
        <w:pStyle w:val="ListParagraph"/>
        <w:numPr>
          <w:ilvl w:val="0"/>
          <w:numId w:val="2"/>
        </w:numPr>
        <w:spacing w:after="80"/>
      </w:pPr>
      <w:r>
        <w:rPr>
          <w:rFonts w:ascii="Calibri" w:cs="Calibri" w:eastAsia="Calibri" w:hAnsi="Calibri"/>
          <w:sz w:val="22"/>
          <w:szCs w:val="22"/>
        </w:rPr>
        <w:t xml:space="preserve">Canal de origen (B2C individual vs. B2B empresarial), para poder analizar si existen diferencias sistemáticas de patrón de respuesta entre ambos contextos de aplicación.</w:t>
      </w:r>
    </w:p>
    <w:p>
      <w:pPr>
        <w:spacing w:after="140"/>
      </w:pPr>
      <w:r>
        <w:rPr>
          <w:rFonts w:ascii="Calibri" w:cs="Calibri" w:eastAsia="Calibri" w:hAnsi="Calibri"/>
          <w:sz w:val="22"/>
          <w:szCs w:val="22"/>
        </w:rPr>
        <w:t xml:space="preserve">[INFERENCIA] Ninguna de estas variables debe ser obligatoria para completar el test; deben poder omitirse sin bloquear el resultado, dado que su único propósito es habilitar análisis posteriores de norma y equidad de medición, no condicionar el resultado individual.</w:t>
      </w:r>
    </w:p>
    <w:p>
      <w:pPr>
        <w:pStyle w:val="Heading1"/>
        <w:spacing w:after="150" w:before="300"/>
      </w:pPr>
      <w:r>
        <w:t xml:space="preserve">6. Relación con las siguientes fases</w:t>
      </w:r>
    </w:p>
    <w:p>
      <w:pPr>
        <w:spacing w:after="140"/>
      </w:pPr>
      <w:r>
        <w:rPr>
          <w:rFonts w:ascii="Calibri" w:cs="Calibri" w:eastAsia="Calibri" w:hAnsi="Calibri"/>
          <w:sz w:val="22"/>
          <w:szCs w:val="22"/>
        </w:rPr>
        <w:t xml:space="preserve">[HECHO] La Fase 9 tomará este plan de recolección como insumo para diseñar el estudio piloto de validación (tamaño de muestra, análisis de ítems, fiabilidad, estructura factorial, DIF y puntos de corte). Ningún valor de media, desviación estándar, percentil o tamaño de muestra ya recolectada debe aparecer en ningún documento de este proyecto hasta que exista un piloto real ejecutado; hasta entonces, todos esos valores permanecen como [PENDIENTE DE DATO PILOTO].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2026-09-07T03:34:06.077Z</dcterms:created>
  <dcterms:modified xsi:type="dcterms:W3CDTF">2026-09-07T03:34:06.078Z</dcterms:modified>
</cp:coreProperties>
</file>

<file path=docProps/custom.xml><?xml version="1.0" encoding="utf-8"?>
<Properties xmlns="http://schemas.openxmlformats.org/officeDocument/2006/custom-properties" xmlns:vt="http://schemas.openxmlformats.org/officeDocument/2006/docPropsVTypes"/>
</file>