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9 — Plan de Validación Psicométrica</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define el plan de validación psicométrica que debe ejecutarse sobre los datos del estudio piloto (Fase 8), para confirmar o corregir todos los supuestos de diseño marcados como [HIPÓTESIS] en las Fases 1 a 7. Es un plan de análisis, no un reporte de resultados: no contiene ningún valor de alfa, omega, correlación, carga factorial o punto de corte real, ya que estos solo existen una vez ejecutado el piloto.</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150" w:before="300"/>
      </w:pPr>
      <w:r>
        <w:t xml:space="preserve">1. Diseño del estudio piloto</w:t>
      </w:r>
    </w:p>
    <w:p>
      <w:pPr>
        <w:pStyle w:val="ListParagraph"/>
        <w:numPr>
          <w:ilvl w:val="0"/>
          <w:numId w:val="2"/>
        </w:numPr>
        <w:spacing w:after="80"/>
      </w:pPr>
      <w:r>
        <w:rPr>
          <w:rFonts w:ascii="Calibri" w:cs="Calibri" w:eastAsia="Calibri" w:hAnsi="Calibri"/>
          <w:sz w:val="22"/>
          <w:szCs w:val="22"/>
        </w:rPr>
        <w:t xml:space="preserve">Población y canales: mismos definidos en la Fase 8 (canal B2C individual y canal B2B empresarial), con un mínimo combinado de 400-800 casos antes del primer análisis (Fase 8, Sección 3).</w:t>
      </w:r>
    </w:p>
    <w:p>
      <w:pPr>
        <w:pStyle w:val="ListParagraph"/>
        <w:numPr>
          <w:ilvl w:val="0"/>
          <w:numId w:val="2"/>
        </w:numPr>
        <w:spacing w:after="80"/>
      </w:pPr>
      <w:r>
        <w:rPr>
          <w:rFonts w:ascii="Calibri" w:cs="Calibri" w:eastAsia="Calibri" w:hAnsi="Calibri"/>
          <w:sz w:val="22"/>
          <w:szCs w:val="22"/>
        </w:rPr>
        <w:t xml:space="preserve">Aplicación: instrumento completo de hasta 210 reactivos según la batería configurada (Fases 3-5), en una sola sesión, registrando tiempo total de respuesta y tiempo por reactivo (insumo para el indicador de validez de Azarosidad, Fase 2 Sección 5.1, y para depuración posterior).</w:t>
      </w:r>
    </w:p>
    <w:p>
      <w:pPr>
        <w:pStyle w:val="ListParagraph"/>
        <w:numPr>
          <w:ilvl w:val="0"/>
          <w:numId w:val="2"/>
        </w:numPr>
        <w:spacing w:after="80"/>
      </w:pPr>
      <w:r>
        <w:rPr>
          <w:rFonts w:ascii="Calibri" w:cs="Calibri" w:eastAsia="Calibri" w:hAnsi="Calibri"/>
          <w:sz w:val="22"/>
          <w:szCs w:val="22"/>
        </w:rPr>
        <w:t xml:space="preserve">Variables adicionales recolectadas junto con las respuestas: las variables demográficas y de contexto de la Fase 8 (Sección 5.4), más los 4 indicadores de validez calculados según la Fase 2 (Azarosidad, Omisión, Aquiescencia, Contradicción) para poder excluir o marcar casos de baja calidad antes de los análisis de las Secciones 2-11 de este documento.</w:t>
      </w:r>
    </w:p>
    <w:p>
      <w:pPr>
        <w:pStyle w:val="ListParagraph"/>
        <w:numPr>
          <w:ilvl w:val="0"/>
          <w:numId w:val="2"/>
        </w:numPr>
        <w:spacing w:after="80"/>
      </w:pPr>
      <w:r>
        <w:rPr>
          <w:rFonts w:ascii="Calibri" w:cs="Calibri" w:eastAsia="Calibri" w:hAnsi="Calibri"/>
          <w:sz w:val="22"/>
          <w:szCs w:val="22"/>
        </w:rPr>
        <w:t xml:space="preserve">Subconjunto con criterio externo (solo canal B2B): para el subconjunto de organizaciones piloto que acepten compartir indicadores agregados y anonimizados de desempeño, incidentes disciplinarios o resultados de proceso de selección, se registra ese criterio externo por separado, para el análisis de validez de criterio (Sección 7.2).</w:t>
      </w:r>
    </w:p>
    <w:p>
      <w:pPr>
        <w:pStyle w:val="ListParagraph"/>
        <w:numPr>
          <w:ilvl w:val="0"/>
          <w:numId w:val="2"/>
        </w:numPr>
        <w:spacing w:after="80"/>
      </w:pPr>
      <w:r>
        <w:rPr>
          <w:rFonts w:ascii="Calibri" w:cs="Calibri" w:eastAsia="Calibri" w:hAnsi="Calibri"/>
          <w:sz w:val="22"/>
          <w:szCs w:val="22"/>
        </w:rPr>
        <w:t xml:space="preserve">[HECHO] Ningún análisis de este documento debe ejecutarse incluyendo casos marcados con invalidación total (Fase 6, Sección 8.2); los casos con invalidación parcial de una dimensión se excluyen únicamente de los análisis específicos de esa dimensión, no del estudio completo.</w:t>
      </w:r>
    </w:p>
    <w:p>
      <w:pPr>
        <w:pStyle w:val="ListParagraph"/>
        <w:numPr>
          <w:ilvl w:val="0"/>
          <w:numId w:val="2"/>
        </w:numPr>
        <w:spacing w:after="80"/>
      </w:pPr>
      <w:r>
        <w:rPr>
          <w:rFonts w:ascii="Calibri" w:cs="Calibri" w:eastAsia="Calibri" w:hAnsi="Calibri"/>
          <w:sz w:val="22"/>
          <w:szCs w:val="22"/>
        </w:rPr>
        <w:t xml:space="preserve">[HECHO] Pasos previos al piloto, sin necesidad de datos de personas evaluadas (DECISIONS.md punto 31, evidencia de validez basada en el contenido y en el proceso de respuesta): (a) un panel de al menos 3-5 jueces expertos (psicólogos organizacionales o especialistas en integridad laboral) evalúa cada uno de los 210 reactivos con la Razón de Validez de Contenido (CVR) de Lawshe, marcándolo como "esencial", "útil pero no esencial" o "innecesario" para su dimensión; los reactivos por debajo del valor crítico de CVR para el tamaño del panel se revisan o reemplazan antes de aplicar el piloto; (b) una muestra pequeña de 10-15 personas responde el instrumento pensando en voz alta ("cognitive interviewing"), para confirmar que cada reactivo se interpreta como se diseñó y no genera confusión sistemática, especialmente relevante dado el uso de español neutro entre países (DECISIONS.md, regla de español neutro).</w:t>
      </w:r>
    </w:p>
    <w:p>
      <w:pPr>
        <w:pStyle w:val="Heading1"/>
        <w:spacing w:after="150" w:before="300"/>
      </w:pPr>
      <w:r>
        <w:t xml:space="preserve">2. Análisis de dificultad/endoso y discriminación por ítem</w:t>
      </w:r>
    </w:p>
    <w:p>
      <w:pPr>
        <w:spacing w:after="140"/>
      </w:pPr>
      <w:r>
        <w:rPr>
          <w:rFonts w:ascii="Calibri" w:cs="Calibri" w:eastAsia="Calibri" w:hAnsi="Calibri"/>
          <w:sz w:val="22"/>
          <w:szCs w:val="22"/>
        </w:rPr>
        <w:t xml:space="preserve">[INFERENCIA] Para reactivos de opción variable (no todos son de acuerdo/desacuerdo simple), el equivalente al 'índice de dificultad' clásico es el índice de endoso: la proporción o el promedio normalizado de respuestas hacia el polo de mayor riesgo, calculado por reactivo sobre la muestra piloto.</w:t>
      </w:r>
    </w:p>
    <w:p>
      <w:pPr>
        <w:pStyle w:val="ListParagraph"/>
        <w:numPr>
          <w:ilvl w:val="0"/>
          <w:numId w:val="2"/>
        </w:numPr>
        <w:spacing w:after="80"/>
      </w:pPr>
      <w:r>
        <w:rPr>
          <w:rFonts w:ascii="Calibri" w:cs="Calibri" w:eastAsia="Calibri" w:hAnsi="Calibri"/>
          <w:sz w:val="22"/>
          <w:szCs w:val="22"/>
        </w:rPr>
        <w:t xml:space="preserve">Índice de endoso por reactivo: promedio del Valor_normalizado (Fase 6, Paso 2) de cada uno de los reactivos (hasta 210, según la batería aplicada) sobre toda la muestra piloto. Reactivos con endoso extremadamente bajo (casi nadie marca la opción de riesgo) o extremadamente alto (casi todos la marcan) aportan poca varianza y son candidatos a revisión o eliminación.</w:t>
      </w:r>
    </w:p>
    <w:p>
      <w:pPr>
        <w:pStyle w:val="ListParagraph"/>
        <w:numPr>
          <w:ilvl w:val="0"/>
          <w:numId w:val="2"/>
        </w:numPr>
        <w:spacing w:after="80"/>
      </w:pPr>
      <w:r>
        <w:rPr>
          <w:rFonts w:ascii="Calibri" w:cs="Calibri" w:eastAsia="Calibri" w:hAnsi="Calibri"/>
          <w:sz w:val="22"/>
          <w:szCs w:val="22"/>
        </w:rPr>
        <w:t xml:space="preserve">Índice de discriminación por ítem: correlación entre el Valor_normalizado de cada reactivo y el Puntaje_dimensión del resto de los reactivos de su misma dimensión (correlación ítem-resto, para evitar la inflación artificial de incluir el ítem en su propio total). Reactivos con discriminación baja o negativa son candidatos a revisión de redacción o eliminación del banco.</w:t>
      </w:r>
    </w:p>
    <w:p>
      <w:pPr>
        <w:pStyle w:val="ListParagraph"/>
        <w:numPr>
          <w:ilvl w:val="0"/>
          <w:numId w:val="2"/>
        </w:numPr>
        <w:spacing w:after="80"/>
      </w:pPr>
      <w:r>
        <w:rPr>
          <w:rFonts w:ascii="Calibri" w:cs="Calibri" w:eastAsia="Calibri" w:hAnsi="Calibri"/>
          <w:sz w:val="22"/>
          <w:szCs w:val="22"/>
        </w:rPr>
        <w:t xml:space="preserve">[HECHO] Criterios de retención/eliminación fijados de antemano (DECISIONS.md punto 33), para que la depuración del banco sea objetiva y no editorial: Dificultad (índice de endoso) — reactivos con tasa de endoso menor al 5% o mayor al 95% aportan poca varianza y son candidatos a revisión o reemplazo, salvo que se conserven deliberadamente por su valor como indicador de Aquiescencia (algunos reactivos "extremos" son útiles precisamente para detectar respuesta automática, no para discriminar integridad). Discriminación (correlación ítem-resto) — mínimo aceptable r ≥ .30; entre .20 y .30, el reactivo se marca para revisión editorial; por debajo de .20, para reemplazo obligatorio; un reactivo con correlación NEGATIVA se retira de inmediato del banco (indica que mide lo contrario de lo esperado) y se documenta como hallazgo en la bitácora de recalibración (Fase 8, Sección 4). Estos criterios se aplican por separado a cada una de las 5 variantes de redacción de un mismo reactivo (DECISIONS.md punto 13): si una variante específica discrimina sistemáticamente peor que sus hermanas, se revisa esa variante puntual antes de asumir que el reactivo completo falla.</w:t>
      </w:r>
    </w:p>
    <w:p>
      <w:pPr>
        <w:pStyle w:val="ListParagraph"/>
        <w:numPr>
          <w:ilvl w:val="0"/>
          <w:numId w:val="2"/>
        </w:numPr>
        <w:spacing w:after="80"/>
      </w:pPr>
      <w:r>
        <w:t xml:space="preserve">[HIPÓTESIS, pendiente de piloto] Equivalencia entre la versión clásica y la versión de opciones concretas de un mismo slot dual (agregado 2026-09-16, DECISIONS.md punto 42): para los 3 slots por dimensión que ahora tienen 2 versiones administrables (op1/op1_alt, op2/op2_alt, perc1/perc1_alt — Fase 2, Sección 9; reactivos_alternativos_data.json), el piloto debe verificar, además de la equivalencia ya exigida entre las 5 variantes de redacción de una misma versión, que la versión clásica y la versión de opciones concretas de un mismo slot producen un índice de endoso y una discriminación comparables entre sí (no solo que cada una discrimine bien por separado): la muestra piloto debe recolectar datos de ambas versiones de cada slot dual en volumen suficiente (asignación aleatoria ya prevista en el motor de selección, no un diseño de muestreo adicional) para esta comparación. Si una de las 2 versiones de un slot resulta sistemáticamente más fácil, más difícil, o con peor discriminación que la otra, no se retira ninguna todavía: se documenta como hallazgo y se revisa su redacción antes de asumir que ambas versiones son intercambiables en producción.</w:t>
      </w:r>
    </w:p>
    <w:p>
      <w:pPr>
        <w:pStyle w:val="Heading1"/>
        <w:spacing w:after="150" w:before="300"/>
      </w:pPr>
      <w:r>
        <w:t xml:space="preserve">3. Correlación ítem-total y consistencia interna (alfa/omega)</w:t>
      </w:r>
    </w:p>
    <w:p>
      <w:pPr>
        <w:pStyle w:val="ListParagraph"/>
        <w:numPr>
          <w:ilvl w:val="0"/>
          <w:numId w:val="2"/>
        </w:numPr>
        <w:spacing w:after="80"/>
      </w:pPr>
      <w:r>
        <w:rPr>
          <w:rFonts w:ascii="Calibri" w:cs="Calibri" w:eastAsia="Calibri" w:hAnsi="Calibri"/>
          <w:sz w:val="22"/>
          <w:szCs w:val="22"/>
        </w:rPr>
        <w:t xml:space="preserve">Correlación ítem-total corregida: para cada uno de los reactivos (hasta 210), correlación con el total de su dimensión excluyendo ese mismo reactivo (mismo cálculo de la Sección 2, reportado de forma consolidada por dimensión).</w:t>
      </w:r>
    </w:p>
    <w:p>
      <w:pPr>
        <w:pStyle w:val="ListParagraph"/>
        <w:numPr>
          <w:ilvl w:val="0"/>
          <w:numId w:val="2"/>
        </w:numPr>
        <w:spacing w:after="80"/>
      </w:pPr>
      <w:r>
        <w:rPr>
          <w:rFonts w:ascii="Calibri" w:cs="Calibri" w:eastAsia="Calibri" w:hAnsi="Calibri"/>
          <w:sz w:val="22"/>
          <w:szCs w:val="22"/>
        </w:rPr>
        <w:t xml:space="preserve">Alfa de Cronbach por dimensión: calculado sobre los 10 reactivos de cada una de las 21 dimensiones. [INFERENCIA] Con 10 reactivos por dimensión (frente a los 3-4 originales), se espera un alfa más estable y menos sensible a la calidad de un solo ítem; una dimensión con alfa bajo debe revisarse antes de usarse en producción, y podría requerir revisar el contenido de sus reactivos o su mapeo a indicadores (DECISIONS.md punto 28) en una versión futura del banco.</w:t>
      </w:r>
    </w:p>
    <w:p>
      <w:pPr>
        <w:pStyle w:val="ListParagraph"/>
        <w:numPr>
          <w:ilvl w:val="0"/>
          <w:numId w:val="2"/>
        </w:numPr>
        <w:spacing w:after="80"/>
      </w:pPr>
      <w:r>
        <w:rPr>
          <w:rFonts w:ascii="Calibri" w:cs="Calibri" w:eastAsia="Calibri" w:hAnsi="Calibri"/>
          <w:sz w:val="22"/>
          <w:szCs w:val="22"/>
        </w:rPr>
        <w:t xml:space="preserve">Omega de McDonald por dimensión: se calcula como complemento al alfa, dado que el omega no asume que todos los reactivos de una dimensión tengan la misma carga factorial (supuesto tau-equivalente del alfa), lo cual es más realista para reactivos de distinto tipo estructural (opinión, escenario, percepción, etc.) dentro de una misma dimensión.</w:t>
      </w:r>
    </w:p>
    <w:p>
      <w:pPr>
        <w:pStyle w:val="ListParagraph"/>
        <w:numPr>
          <w:ilvl w:val="0"/>
          <w:numId w:val="2"/>
        </w:numPr>
        <w:spacing w:after="80"/>
      </w:pPr>
      <w:r>
        <w:rPr>
          <w:rFonts w:ascii="Calibri" w:cs="Calibri" w:eastAsia="Calibri" w:hAnsi="Calibri"/>
          <w:sz w:val="22"/>
          <w:szCs w:val="22"/>
        </w:rPr>
        <w:t xml:space="preserve">[HECHO] A diferencia de un punto de corte de contenido (que sí depende de los datos), el umbral mínimo aceptable de confiabilidad SÍ se fija de antemano, antes de ver los datos del piloto, siguiendo la práctica psicométrica estándar de pre-registrar el criterio de éxito para no ajustarlo después de conocer el resultado (DECISIONS.md punto 30): ω ≥ .70 como mínimo aceptable por dimensión individual, ω ≥ .80 como umbral bueno, y ω ≥ .85 para el IGI general (Núcleo combinado), por ser el número que más peso tiene en una decisión de selección. Una dimensión que no alcance ω ≥ .70 en el primer análisis no se elimina automáticamente, pero se marca como "[CONFIABILIDAD INSUFICIENTE — EN REVISIÓN]" en cualquier reporte, y no debe usarse como criterio único de descarte de un candidato hasta corregirse. Estos umbrales son objetivos de diseño, no resultados: hasta que exista el piloto real, todo valor de alfa u omega reportado se marca [PENDIENTE DE DATO PILOTO], nunca se simula.</w:t>
      </w:r>
    </w:p>
    <w:p>
      <w:pPr>
        <w:pStyle w:val="ListParagraph"/>
        <w:numPr>
          <w:ilvl w:val="0"/>
          <w:numId w:val="2"/>
        </w:numPr>
        <w:spacing w:after="80"/>
      </w:pPr>
      <w:r>
        <w:rPr>
          <w:rFonts w:ascii="Calibri" w:cs="Calibri" w:eastAsia="Calibri" w:hAnsi="Calibri"/>
          <w:sz w:val="22"/>
          <w:szCs w:val="22"/>
        </w:rPr>
        <w:t xml:space="preserve">[HIPÓTESIS, pendiente de piloto] Confiabilidad test-retest (DECISIONS.md punto 30): un subconjunto de al menos 50-100 personas repite el test completo entre 2 y 4 semanas después de la primera aplicación — ventana corta para minimizar el cambio real de la persona en ese lapso, pero suficiente para minimizar que recuerde literalmente sus respuestas anteriores. Se calcula la correlación de Pearson (o un coeficiente de correlación intraclase, ICC, si se prefiere una medida más estricta de acuerdo absoluto) entre el IGI de la primera y la segunda aplicación de cada persona. Objetivo: r ≥ .75 para el IGI general. Este análisis, junto con la consistencia interna (Omega/Alfa de esta misma sección) y la evidencia de validez de la Sección 7, es el respaldo técnico concreto que debe poder mostrarse a un cliente B2B como evidencia de que el instrumento mide de forma estable y consistente lo que dice medir — no una afirmación de marketing, sino un resultado empírico verificable una vez exista el piloto.</w:t>
      </w:r>
    </w:p>
    <w:p>
      <w:pPr>
        <w:pStyle w:val="Heading1"/>
        <w:spacing w:after="150" w:before="300"/>
      </w:pPr>
      <w:r>
        <w:t xml:space="preserve">4. Análisis factorial exploratorio (AFE) y confirmatorio (AFC)</w:t>
      </w:r>
    </w:p>
    <w:p>
      <w:pPr>
        <w:pStyle w:val="ListParagraph"/>
        <w:numPr>
          <w:ilvl w:val="0"/>
          <w:numId w:val="2"/>
        </w:numPr>
        <w:spacing w:after="80"/>
      </w:pPr>
      <w:r>
        <w:rPr>
          <w:rFonts w:ascii="Calibri" w:cs="Calibri" w:eastAsia="Calibri" w:hAnsi="Calibri"/>
          <w:sz w:val="22"/>
          <w:szCs w:val="22"/>
        </w:rPr>
        <w:t xml:space="preserve">AFE inicial: sobre la muestra piloto agregada (Sección 1), para explorar si los 210 reactivos se agrupan empíricamente de forma consistente con las 21 dimensiones teóricas de la Fase 1, o si emergen agrupaciones distintas (por ejemplo, reactivos de dimensiones teóricamente distintas que covarían más de lo esperado, sugiriendo redundancia conceptual).</w:t>
      </w:r>
    </w:p>
    <w:p>
      <w:pPr>
        <w:pStyle w:val="ListParagraph"/>
        <w:numPr>
          <w:ilvl w:val="0"/>
          <w:numId w:val="2"/>
        </w:numPr>
        <w:spacing w:after="80"/>
      </w:pPr>
      <w:r>
        <w:rPr>
          <w:rFonts w:ascii="Calibri" w:cs="Calibri" w:eastAsia="Calibri" w:hAnsi="Calibri"/>
          <w:sz w:val="22"/>
          <w:szCs w:val="22"/>
        </w:rPr>
        <w:t xml:space="preserve">[INFERENCIA] Dado que el modelo teórico ya especifica una estructura de 21 dimensiones (Fase 1), de las cuales 12 —5 Base + 7 Adicionales, agrupadas como "Núcleo"— se combinan en un factor general de segundo orden (el IGI) y las 9 restantes (Factores Contextuales) se miden como factores independientes que nunca se combinan en un índice general (DECISIONS.md punto 1), el AFE debe usarse principalmente como diagnóstico de problemas (cargas cruzadas, reactivos que no cargan en su dimensión esperada), no como un ejercicio exploratorio libre sin hipótesis previa.</w:t>
      </w:r>
    </w:p>
    <w:p>
      <w:pPr>
        <w:pStyle w:val="ListParagraph"/>
        <w:numPr>
          <w:ilvl w:val="0"/>
          <w:numId w:val="2"/>
        </w:numPr>
        <w:spacing w:after="80"/>
      </w:pPr>
      <w:r>
        <w:rPr>
          <w:rFonts w:ascii="Calibri" w:cs="Calibri" w:eastAsia="Calibri" w:hAnsi="Calibri"/>
          <w:sz w:val="22"/>
          <w:szCs w:val="22"/>
        </w:rPr>
        <w:t xml:space="preserve">AFC de segundo orden: una vez depurado el banco con base en el AFE y en las Secciones 2-3, se debe probar formalmente un modelo confirmatorio de 21 factores de primer orden (las dimensiones), donde las 12 dimensiones Núcleo (5 Base + 7 Adicionales) cargan sobre un único factor general de segundo orden (el IGI) y las 9 dimensiones de Factores Contextuales se modelan como factores independientes que no cargan sobre ningún factor de segundo orden (DECISIONS.md punto 1), evaluando el ajuste con los índices convencionales de la literatura de ecuaciones estructurales (por ejemplo, CFI, TLI, RMSEA, SRMR), sin fijar aquí valores de corte como si fueran ya resultados obtenidos.</w:t>
      </w:r>
    </w:p>
    <w:p>
      <w:pPr>
        <w:pStyle w:val="ListParagraph"/>
        <w:numPr>
          <w:ilvl w:val="0"/>
          <w:numId w:val="2"/>
        </w:numPr>
        <w:spacing w:after="80"/>
      </w:pPr>
      <w:r>
        <w:rPr>
          <w:rFonts w:ascii="Calibri" w:cs="Calibri" w:eastAsia="Calibri" w:hAnsi="Calibri"/>
          <w:sz w:val="22"/>
          <w:szCs w:val="22"/>
        </w:rPr>
        <w:t xml:space="preserve">[HIPÓTESIS] Si el AFC no confirma razonablemente la estructura de Núcleo (12 dimensiones bajo el factor general IGI) + Contextuales (9 dimensiones independientes), se debe evaluar un modelo alternativo con las 21 dimensiones como factores correlacionados sin una estructura jerárquica forzada, y ajustar en consecuencia la fórmula del IGI (Fase 6), que actualmente asume que las 12 dimensiones Núcleo son intercambiables entre sí para efectos de ponderación (salvo por el multiplicador de nivel de exigencia por puesto, DECISIONS.md punto 27).</w:t>
      </w:r>
    </w:p>
    <w:p>
      <w:pPr>
        <w:pStyle w:val="Heading1"/>
        <w:spacing w:after="150" w:before="300"/>
      </w:pPr>
      <w:r>
        <w:t xml:space="preserve">5. Hoja de ruta hacia TRI/IRT</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DECISIONS.md (punto 2) establece que el instrumento se lanza en TCT pero el diseño de reactivos debe quedar preparado para migrar a TRI/IRT cuando exista muestra piloto suficiente (cientos de casos).</w:t>
      </w:r>
    </w:p>
    <w:p>
      <w:pPr>
        <w:pStyle w:val="ListParagraph"/>
        <w:numPr>
          <w:ilvl w:val="0"/>
          <w:numId w:val="2"/>
        </w:numPr>
        <w:spacing w:after="80"/>
      </w:pPr>
      <w:r>
        <w:rPr>
          <w:rFonts w:ascii="Calibri" w:cs="Calibri" w:eastAsia="Calibri" w:hAnsi="Calibri"/>
          <w:sz w:val="22"/>
          <w:szCs w:val="22"/>
        </w:rPr>
        <w:t xml:space="preserve">Paso 1 (con la primera muestra piloto, cientos de casos): verificar los supuestos mínimos de aplicabilidad de un modelo politómico de TRI (por ejemplo, modelo de crédito parcial o modelo de escala gradual, dado que los reactivos usan escalas de opción variable de distinto rango, Fase 2 Sección 2) sobre cada dimensión por separado, dado el número reducido de reactivos por dimensión.</w:t>
      </w:r>
    </w:p>
    <w:p>
      <w:pPr>
        <w:pStyle w:val="ListParagraph"/>
        <w:numPr>
          <w:ilvl w:val="0"/>
          <w:numId w:val="2"/>
        </w:numPr>
        <w:spacing w:after="80"/>
      </w:pPr>
      <w:r>
        <w:rPr>
          <w:rFonts w:ascii="Calibri" w:cs="Calibri" w:eastAsia="Calibri" w:hAnsi="Calibri"/>
          <w:sz w:val="22"/>
          <w:szCs w:val="22"/>
        </w:rPr>
        <w:t xml:space="preserve">Paso 2 (con muestra más amplia, del orden de miles de casos, alineado con las metas de crecimiento del canal B2C): ajustar un modelo de TRI politómico por dimensión, comparar su ajuste contra el modelo de TCT vigente, y evaluar si el modelo de TRI mejora la precisión de medición, especialmente en los extremos de la escala (personas con integridad muy alta o muy baja, donde la TCT suele ser menos precisa).</w:t>
      </w:r>
    </w:p>
    <w:p>
      <w:pPr>
        <w:pStyle w:val="ListParagraph"/>
        <w:numPr>
          <w:ilvl w:val="0"/>
          <w:numId w:val="2"/>
        </w:numPr>
        <w:spacing w:after="80"/>
      </w:pPr>
      <w:r>
        <w:rPr>
          <w:rFonts w:ascii="Calibri" w:cs="Calibri" w:eastAsia="Calibri" w:hAnsi="Calibri"/>
          <w:sz w:val="22"/>
          <w:szCs w:val="22"/>
        </w:rPr>
        <w:t xml:space="preserve">Paso 3: si el modelo de TRI muestra ventajas claras, planear una migración gradual, dimensión por dimensión, manteniendo ambos modelos en paralelo (TCT como respaldo) durante un periodo de transición, y documentando el cambio como una recalibración mayor (Fase 8, Sección 4).</w:t>
      </w:r>
    </w:p>
    <w:p>
      <w:pPr>
        <w:pStyle w:val="ListParagraph"/>
        <w:numPr>
          <w:ilvl w:val="0"/>
          <w:numId w:val="2"/>
        </w:numPr>
        <w:spacing w:after="80"/>
      </w:pPr>
      <w:r>
        <w:rPr>
          <w:rFonts w:ascii="Calibri" w:cs="Calibri" w:eastAsia="Calibri" w:hAnsi="Calibri"/>
          <w:sz w:val="22"/>
          <w:szCs w:val="22"/>
        </w:rPr>
        <w:t xml:space="preserve">[DESCONOCIDO] No es posible, sin datos reales, determinar si el banco actual de 10 reactivos por dimensión es suficiente para una calibración de TRI estable; este es uno de los hallazgos que el propio Paso 1 debe responder.</w:t>
      </w:r>
    </w:p>
    <w:p>
      <w:pPr>
        <w:pStyle w:val="Heading1"/>
        <w:spacing w:after="150" w:before="300"/>
      </w:pPr>
      <w:r>
        <w:t xml:space="preserve">6. Funcionamiento diferencial de ítems (DIF)</w:t>
      </w:r>
    </w:p>
    <w:p>
      <w:pPr>
        <w:pStyle w:val="ListParagraph"/>
        <w:numPr>
          <w:ilvl w:val="0"/>
          <w:numId w:val="2"/>
        </w:numPr>
        <w:spacing w:after="80"/>
      </w:pPr>
      <w:r>
        <w:rPr>
          <w:rFonts w:ascii="Calibri" w:cs="Calibri" w:eastAsia="Calibri" w:hAnsi="Calibri"/>
          <w:sz w:val="22"/>
          <w:szCs w:val="22"/>
        </w:rPr>
        <w:t xml:space="preserve">Se debe analizar, para cada uno de los reactivos (hasta 210), si su relación entre respuesta y nivel latente de la dimensión difiere sistemáticamente entre grupos demográficos con el mismo nivel real de la dimensión (por ejemplo, entre países, entre rangos de edad, entre géneros, o entre el canal B2C y el canal B2B), usando las variables de contexto recolectadas en la Fase 8.</w:t>
      </w:r>
    </w:p>
    <w:p>
      <w:pPr>
        <w:pStyle w:val="ListParagraph"/>
        <w:numPr>
          <w:ilvl w:val="0"/>
          <w:numId w:val="2"/>
        </w:numPr>
        <w:spacing w:after="80"/>
      </w:pPr>
      <w:r>
        <w:rPr>
          <w:rFonts w:ascii="Calibri" w:cs="Calibri" w:eastAsia="Calibri" w:hAnsi="Calibri"/>
          <w:sz w:val="22"/>
          <w:szCs w:val="22"/>
        </w:rPr>
        <w:t xml:space="preserve">[INFERENCIA] El DIF es especialmente relevante para las dimensiones con contenido más sensible a normas culturales (por ejemplo, Incumplimiento de Normas, Fraude) y para las dimensiones que no cuentan con literatura de referencia tan extensa como las dimensiones más clásicas.</w:t>
      </w:r>
    </w:p>
    <w:p>
      <w:pPr>
        <w:pStyle w:val="ListParagraph"/>
        <w:numPr>
          <w:ilvl w:val="0"/>
          <w:numId w:val="2"/>
        </w:numPr>
        <w:spacing w:after="80"/>
      </w:pPr>
      <w:r>
        <w:rPr>
          <w:rFonts w:ascii="Calibri" w:cs="Calibri" w:eastAsia="Calibri" w:hAnsi="Calibri"/>
          <w:sz w:val="22"/>
          <w:szCs w:val="22"/>
        </w:rPr>
        <w:t xml:space="preserve">Cualquier reactivo con DIF relevante debe revisarse en su redacción (posible ambigüedad cultural o de traducción futura) o, si persiste tras la revisión, marcarse para exclusión o para uso restringido a los grupos donde se comportó de forma consistente.</w:t>
      </w:r>
    </w:p>
    <w:p>
      <w:pPr>
        <w:pStyle w:val="ListParagraph"/>
        <w:numPr>
          <w:ilvl w:val="0"/>
          <w:numId w:val="2"/>
        </w:numPr>
        <w:spacing w:after="80"/>
      </w:pPr>
      <w:r>
        <w:rPr>
          <w:rFonts w:ascii="Calibri" w:cs="Calibri" w:eastAsia="Calibri" w:hAnsi="Calibri"/>
          <w:sz w:val="22"/>
          <w:szCs w:val="22"/>
        </w:rPr>
        <w:t xml:space="preserve">[HECHO] Análisis por país, no solo global (DECISIONS.md punto 39; arquitectura de baremos, Fase 8 Sección 2.4): una vez que un país acumule volumen propio suficiente para sostener su propio baremo (≥300 casos, Fase 8 Sección 3), el AFE y el AFC de la Sección 4 y el DIF de esta sección deben correrse también de forma independiente para ese país, no solo sobre la muestra global combinada — precisamente porque el país es ahora la variable de segmentación obligatoria de la arquitectura de baremos, y una estructura factorial o un funcionamiento de ítem que es estable a nivel global podría no serlo dentro de un país específico. Mientras un país no alcance ese volumen, se sigue analizando únicamente como parte de la muestra global (igual que para efectos de baremo, Fase 8 Sección 2.4), nunca de forma aislada con una muestra insuficiente.</w:t>
      </w:r>
    </w:p>
    <w:p>
      <w:pPr>
        <w:pStyle w:val="Heading1"/>
        <w:spacing w:after="150" w:before="300"/>
      </w:pPr>
      <w:r>
        <w:t xml:space="preserve">7. Validez convergente, discriminante y de criterio</w:t>
      </w:r>
    </w:p>
    <w:p>
      <w:pPr>
        <w:pStyle w:val="Heading2"/>
        <w:spacing w:after="120" w:before="240"/>
      </w:pPr>
      <w:r>
        <w:t xml:space="preserve">7.1 Validez convergente y discriminante</w:t>
      </w:r>
    </w:p>
    <w:p>
      <w:pPr>
        <w:pStyle w:val="ListParagraph"/>
        <w:numPr>
          <w:ilvl w:val="0"/>
          <w:numId w:val="2"/>
        </w:numPr>
        <w:spacing w:after="80"/>
      </w:pPr>
      <w:r>
        <w:rPr>
          <w:rFonts w:ascii="Calibri" w:cs="Calibri" w:eastAsia="Calibri" w:hAnsi="Calibri"/>
          <w:sz w:val="22"/>
          <w:szCs w:val="22"/>
        </w:rPr>
        <w:t xml:space="preserve">Convergente: correlación esperada moderada-alta entre dimensiones Núcleo teóricamente relacionadas (por ejemplo, entre Robo y Abuso de Recursos, ambas vinculadas a la apropiación indebida de bienes o recursos de la organización), y, cuando el piloto lo permita, entre el IGI y un inventario de personalidad externo ya validado tipo Big Five: se espera correlación negativa moderada con Amabilidad y con Escrupulosidad bajas (DECISIONS.md punto 31), no con Extraversión.</w:t>
      </w:r>
    </w:p>
    <w:p>
      <w:pPr>
        <w:pStyle w:val="ListParagraph"/>
        <w:numPr>
          <w:ilvl w:val="0"/>
          <w:numId w:val="2"/>
        </w:numPr>
        <w:spacing w:after="80"/>
      </w:pPr>
      <w:r>
        <w:rPr>
          <w:rFonts w:ascii="Calibri" w:cs="Calibri" w:eastAsia="Calibri" w:hAnsi="Calibri"/>
          <w:sz w:val="22"/>
          <w:szCs w:val="22"/>
        </w:rPr>
        <w:t xml:space="preserve">Discriminante: correlación esperada baja entre dimensiones teóricamente distintas (por ejemplo, entre Sustancias Lícitas y Discriminación), y entre el IGI y la Escala de Deseabilidad Social (Fase 12, Sección 7; DECISIONS.md punto 35) ya integrada en el propio instrumento — a diferencia de la versión anterior de este documento, que planteaba esta medida como una posibilidad futura sujeta a disponibilidad, la Escala de Deseabilidad Social de 8 reactivos ya forma parte del banco aplicado desde el piloto, por lo que esta correlación puede calcularse siempre, en todo caso piloto, y sirve para estimar cuánto del puntaje individual podría explicarse por el estilo de respuesta (manejo de impresión) y no por el contenido real de las dimensiones.</w:t>
      </w:r>
    </w:p>
    <w:p>
      <w:pPr>
        <w:pStyle w:val="Heading2"/>
        <w:spacing w:after="120" w:before="240"/>
      </w:pPr>
      <w:r>
        <w:t xml:space="preserve">7.2 Validez de criterio</w:t>
      </w:r>
    </w:p>
    <w:p>
      <w:pPr>
        <w:pStyle w:val="ListParagraph"/>
        <w:numPr>
          <w:ilvl w:val="0"/>
          <w:numId w:val="2"/>
        </w:numPr>
        <w:spacing w:after="80"/>
      </w:pPr>
      <w:r>
        <w:rPr>
          <w:rFonts w:ascii="Calibri" w:cs="Calibri" w:eastAsia="Calibri" w:hAnsi="Calibri"/>
          <w:sz w:val="22"/>
          <w:szCs w:val="22"/>
        </w:rPr>
        <w:t xml:space="preserve">Solo disponible para el subconjunto de casos del canal B2B con criterio externo (Sección 1): correlación entre el IGI y los indicadores de desempeño, incidentes disciplinarios o resultados de selección compartidos por las organizaciones piloto, agregados y anonimizados.</w:t>
      </w:r>
    </w:p>
    <w:p>
      <w:pPr>
        <w:pStyle w:val="ListParagraph"/>
        <w:numPr>
          <w:ilvl w:val="0"/>
          <w:numId w:val="2"/>
        </w:numPr>
        <w:spacing w:after="80"/>
      </w:pPr>
      <w:r>
        <w:rPr>
          <w:rFonts w:ascii="Calibri" w:cs="Calibri" w:eastAsia="Calibri" w:hAnsi="Calibri"/>
          <w:sz w:val="22"/>
          <w:szCs w:val="22"/>
        </w:rPr>
        <w:t xml:space="preserve">[DESCONOCIDO] Dado que este criterio depende enteramente de la disposición de las organizaciones piloto a compartir datos reales, no se puede anticipar aquí el tamaño de esta submuestra ni ningún valor de correlación esperado; se documenta como un objetivo de recolección a maximizar dentro del plan de la Fase 8, no como un resultado.</w:t>
      </w:r>
    </w:p>
    <w:p>
      <w:pPr>
        <w:pStyle w:val="Heading2"/>
        <w:spacing w:after="120" w:before="240"/>
      </w:pPr>
      <w:r>
        <w:t xml:space="preserve">7.3 Validez de grupos conocidos (known-groups validity)</w:t>
      </w:r>
    </w:p>
    <w:p>
      <w:pPr>
        <w:pStyle w:val="ListParagraph"/>
        <w:numPr>
          <w:ilvl w:val="0"/>
          <w:numId w:val="2"/>
        </w:numPr>
        <w:spacing w:after="80"/>
      </w:pPr>
      <w:r>
        <w:rPr>
          <w:rFonts w:ascii="Calibri" w:cs="Calibri" w:eastAsia="Calibri" w:hAnsi="Calibri"/>
          <w:sz w:val="22"/>
          <w:szCs w:val="22"/>
        </w:rPr>
        <w:t xml:space="preserve">[HECHO] Diseño adicional a la validez de criterio de la Sección 7.2 (DECISIONS.md punto 31): se compara la distribución del IGI entre un grupo con antecedente documentado (por ejemplo, empleados con medidas disciplinarias formales por deshonestidad, cuando el cliente B2B piloto lo autorice y anonimice) y un grupo de control sin ese antecedente, dentro del mismo canal B2B con criterio externo de la Sección 7.2. Se espera una diferencia de medias estadísticamente significativa y en la dirección esperada (grupo con antecedente = IGI más bajo).</w:t>
      </w:r>
    </w:p>
    <w:p>
      <w:pPr>
        <w:pStyle w:val="ListParagraph"/>
        <w:numPr>
          <w:ilvl w:val="0"/>
          <w:numId w:val="2"/>
        </w:numPr>
        <w:spacing w:after="80"/>
      </w:pPr>
      <w:r>
        <w:rPr>
          <w:rFonts w:ascii="Calibri" w:cs="Calibri" w:eastAsia="Calibri" w:hAnsi="Calibri"/>
          <w:sz w:val="22"/>
          <w:szCs w:val="22"/>
        </w:rPr>
        <w:t xml:space="preserve">[DESCONOCIDO] Al igual que la validez de criterio de la Sección 7.2, depende de la disposición de organizaciones piloto a compartir datos reales; no se anticipa aquí ningún tamaño de grupo ni diferencia de medias esperada. Junto con la confiabilidad test-retest (Sección 3) y la consistencia interna (Sección 3), este es uno de los resultados empíricos concretos que respaldan, ante un cliente, que el instrumento distingue realmente a personas con antecedentes documentados de deshonestidad de quienes no los tienen — no solo que el test es internamente consistente, sino que predice algo relevante fuera de sí mismo.</w:t>
      </w:r>
    </w:p>
    <w:p>
      <w:pPr>
        <w:pStyle w:val="Heading1"/>
        <w:spacing w:after="150" w:before="300"/>
      </w:pPr>
      <w:r>
        <w:t xml:space="preserve">8. Construcción empírica de puntos de corte</w:t>
      </w:r>
    </w:p>
    <w:p>
      <w:pPr>
        <w:pStyle w:val="ListParagraph"/>
        <w:numPr>
          <w:ilvl w:val="0"/>
          <w:numId w:val="2"/>
        </w:numPr>
        <w:spacing w:after="80"/>
      </w:pPr>
      <w:r>
        <w:rPr>
          <w:rFonts w:ascii="Calibri" w:cs="Calibri" w:eastAsia="Calibri" w:hAnsi="Calibri"/>
          <w:sz w:val="22"/>
          <w:szCs w:val="22"/>
        </w:rPr>
        <w:t xml:space="preserve">Una vez calculada la norma provisional (Fase 8), los puntos de corte para las categorías de riesgo reportadas en la capa empresarial (por ejemplo, 'Riesgo Bajo', 'Riesgo Moderado', 'Riesgo Alto', usados de forma preliminar en el ejemplo de la Fase 7) deben construirse empíricamente a partir de la distribución real del IGI en la muestra de referencia (por ejemplo, mediante percentiles fijos, o mediante un punto de corte optimizado contra el criterio externo de la Sección 7.2 cuando exista una submuestra suficiente).</w:t>
      </w:r>
    </w:p>
    <w:p>
      <w:pPr>
        <w:pStyle w:val="ListParagraph"/>
        <w:numPr>
          <w:ilvl w:val="0"/>
          <w:numId w:val="2"/>
        </w:numPr>
        <w:spacing w:after="80"/>
      </w:pPr>
      <w:r>
        <w:rPr>
          <w:rFonts w:ascii="Calibri" w:cs="Calibri" w:eastAsia="Calibri" w:hAnsi="Calibri"/>
          <w:sz w:val="22"/>
          <w:szCs w:val="22"/>
        </w:rPr>
        <w:t xml:space="preserve">[HIPÓTESIS] Hasta contar con ese análisis, cualquier punto de corte mostrado en un reporte (incluyendo el ejemplo ilustrativo de la Fase 7) debe marcarse explícitamente como preliminar y sujeto a revisión, y nunca presentarse como un estándar validado ante un cliente empresarial.</w:t>
      </w:r>
    </w:p>
    <w:p>
      <w:pPr>
        <w:pStyle w:val="ListParagraph"/>
        <w:numPr>
          <w:ilvl w:val="0"/>
          <w:numId w:val="2"/>
        </w:numPr>
        <w:spacing w:after="80"/>
      </w:pPr>
      <w:r>
        <w:rPr>
          <w:rFonts w:ascii="Calibri" w:cs="Calibri" w:eastAsia="Calibri" w:hAnsi="Calibri"/>
          <w:sz w:val="22"/>
          <w:szCs w:val="22"/>
        </w:rPr>
        <w:t xml:space="preserve">Los puntos de corte deben revisarse por segmento normativo (Fase 8, Sección 2.3) una vez exista volumen suficiente, ya que un mismo IGI absoluto puede representar un nivel de riesgo relativo distinto según el país, industria o canal de aplicación.</w:t>
      </w:r>
    </w:p>
    <w:p>
      <w:pPr>
        <w:pStyle w:val="Heading1"/>
        <w:spacing w:after="150" w:before="300"/>
      </w:pPr>
      <w:r>
        <w:t xml:space="preserve">9. Validación cruzada</w:t>
      </w:r>
    </w:p>
    <w:p>
      <w:pPr>
        <w:pStyle w:val="ListParagraph"/>
        <w:numPr>
          <w:ilvl w:val="0"/>
          <w:numId w:val="2"/>
        </w:numPr>
        <w:spacing w:after="80"/>
      </w:pPr>
      <w:r>
        <w:rPr>
          <w:rFonts w:ascii="Calibri" w:cs="Calibri" w:eastAsia="Calibri" w:hAnsi="Calibri"/>
          <w:sz w:val="22"/>
          <w:szCs w:val="22"/>
        </w:rPr>
        <w:t xml:space="preserve">Toda regla derivada de los datos (pesos ajustados de dimensión, puntos de corte, parámetros de un futuro modelo de TRI) debe validarse con una metodología de validación cruzada (por ejemplo, división de la muestra en un conjunto de entrenamiento y uno de prueba, o validación cruzada de k particiones si el tamaño de muestra lo permite) antes de adoptarse en producción, para evitar sobreajuste a las particularidades de la primera muestra piloto.</w:t>
      </w:r>
    </w:p>
    <w:p>
      <w:pPr>
        <w:pStyle w:val="ListParagraph"/>
        <w:numPr>
          <w:ilvl w:val="0"/>
          <w:numId w:val="2"/>
        </w:numPr>
        <w:spacing w:after="80"/>
      </w:pPr>
      <w:r>
        <w:rPr>
          <w:rFonts w:ascii="Calibri" w:cs="Calibri" w:eastAsia="Calibri" w:hAnsi="Calibri"/>
          <w:sz w:val="22"/>
          <w:szCs w:val="22"/>
        </w:rPr>
        <w:t xml:space="preserve">[INFERENCIA] Dado que el tamaño de muestra inicial (Fase 8, Sección 3) es modesto para estándares psicométricos maduros, se prioriza una validación cruzada simple (por ejemplo, 70/30) sobre esquemas más exigentes que requieran mayor volumen, y se reevalúa el esquema de validación a medida que crece la muestra acumulada.</w:t>
      </w:r>
    </w:p>
    <w:p>
      <w:pPr>
        <w:pStyle w:val="Heading1"/>
        <w:spacing w:after="150" w:before="300"/>
      </w:pPr>
      <w:r>
        <w:t xml:space="preserve">10. Análisis de falsos positivos y falsos negativos</w:t>
      </w:r>
    </w:p>
    <w:p>
      <w:pPr>
        <w:pStyle w:val="ListParagraph"/>
        <w:numPr>
          <w:ilvl w:val="0"/>
          <w:numId w:val="2"/>
        </w:numPr>
        <w:spacing w:after="80"/>
      </w:pPr>
      <w:r>
        <w:rPr>
          <w:rFonts w:ascii="Calibri" w:cs="Calibri" w:eastAsia="Calibri" w:hAnsi="Calibri"/>
          <w:sz w:val="22"/>
          <w:szCs w:val="22"/>
        </w:rPr>
        <w:t xml:space="preserve">Solo aplicable, con rigor, sobre la submuestra con criterio externo real (Sección 7.2): una vez fijados los puntos de corte de la Sección 8, se debe calcular la tasa de falsos positivos (personas clasificadas como de mayor riesgo que no presentan el criterio externo negativo, p. ej. incidentes disciplinarios) y falsos negativos (personas clasificadas como de bajo riesgo que sí presentan ese criterio), junto con sensibilidad y especificidad del punto de corte elegido.</w:t>
      </w:r>
    </w:p>
    <w:p>
      <w:pPr>
        <w:pStyle w:val="ListParagraph"/>
        <w:numPr>
          <w:ilvl w:val="0"/>
          <w:numId w:val="2"/>
        </w:numPr>
        <w:spacing w:after="80"/>
      </w:pPr>
      <w:r>
        <w:rPr>
          <w:rFonts w:ascii="Calibri" w:cs="Calibri" w:eastAsia="Calibri" w:hAnsi="Calibri"/>
          <w:sz w:val="22"/>
          <w:szCs w:val="22"/>
        </w:rPr>
        <w:t xml:space="preserve">[INFERENCIA] Este análisis es el que debe usarse para decidir, con evidencia, el balance entre sensibilidad y especificidad más adecuado para el uso empresarial del instrumento (por ejemplo, si conviene un punto de corte más conservador que reduzca falsos negativos a costa de más falsos positivos, dado el uso en procesos de selección donde un falso negativo no detectado puede tener mayor costo que un falso positivo que simplemente derive en una entrevista adicional).</w:t>
      </w:r>
    </w:p>
    <w:p>
      <w:pPr>
        <w:pStyle w:val="ListParagraph"/>
        <w:numPr>
          <w:ilvl w:val="0"/>
          <w:numId w:val="2"/>
        </w:numPr>
        <w:spacing w:after="80"/>
      </w:pPr>
      <w:r>
        <w:rPr>
          <w:rFonts w:ascii="Calibri" w:cs="Calibri" w:eastAsia="Calibri" w:hAnsi="Calibri"/>
          <w:sz w:val="22"/>
          <w:szCs w:val="22"/>
        </w:rPr>
        <w:t xml:space="preserve">[DESCONOCIDO] Sin la submuestra de criterio externo real, no es posible calcular ninguna de estas tasas; hasta entonces, el instrumento debe comunicarse, especialmente en la capa empresarial, como una herramienta de apoyo a un proceso de decisión más amplio (nunca como una herramienta de decisión automática y única), precisamente porque sus tasas de error aún no están cuantificadas.</w:t>
      </w:r>
    </w:p>
    <w:p>
      <w:pPr>
        <w:pStyle w:val="Heading1"/>
        <w:spacing w:after="150" w:before="300"/>
      </w:pPr>
      <w:r>
        <w:t xml:space="preserve">11. Impacto adverso y equidad entre grupos</w:t>
      </w:r>
    </w:p>
    <w:p>
      <w:pPr>
        <w:spacing w:after="140"/>
      </w:pPr>
      <w:r>
        <w:rPr>
          <w:rFonts w:ascii="Calibri" w:cs="Calibri" w:eastAsia="Calibri" w:hAnsi="Calibri"/>
          <w:sz w:val="22"/>
          <w:szCs w:val="22"/>
        </w:rPr>
        <w:t xml:space="preserve">[HECHO] El DIF de la Sección 6 mide si un reactivo se comporta distinto entre grupos a nivel estadístico; falta el paso que importa legal y éticamente en un instrumento usado para decisiones de empleo: medir si el RESULTADO FINAL de selección (no solo el ítem) afecta desproporcionadamente a algún grupo demográfico protegido (DECISIONS.md punto 34).</w:t>
      </w:r>
    </w:p>
    <w:p>
      <w:pPr>
        <w:pStyle w:val="ListParagraph"/>
        <w:numPr>
          <w:ilvl w:val="0"/>
          <w:numId w:val="2"/>
        </w:numPr>
        <w:spacing w:after="80"/>
      </w:pPr>
      <w:r>
        <w:rPr>
          <w:rFonts w:ascii="Calibri" w:cs="Calibri" w:eastAsia="Calibri" w:hAnsi="Calibri"/>
          <w:sz w:val="22"/>
          <w:szCs w:val="22"/>
        </w:rPr>
        <w:t xml:space="preserve">Métrica: regla de las cuatro quintas partes (4/5 rule), adaptada de las Uniform Guidelines on Employee Selection Procedures — si la tasa de selección (pasar el punto de corte de la Sección 8) de cualquier grupo demográfico protegido (género, edad, u otros que la legislación local considere protegidos) es inferior al 80% de la tasa del grupo con mejor resultado, se marca como posible impacto adverso y debe investigarse antes de usar ese punto de corte en producción para esa población.</w:t>
      </w:r>
    </w:p>
    <w:p>
      <w:pPr>
        <w:pStyle w:val="ListParagraph"/>
        <w:numPr>
          <w:ilvl w:val="0"/>
          <w:numId w:val="2"/>
        </w:numPr>
        <w:spacing w:after="80"/>
      </w:pPr>
      <w:r>
        <w:rPr>
          <w:rFonts w:ascii="Calibri" w:cs="Calibri" w:eastAsia="Calibri" w:hAnsi="Calibri"/>
          <w:sz w:val="22"/>
          <w:szCs w:val="22"/>
        </w:rPr>
        <w:t xml:space="preserve">[HECHO] Esta es una salvaguarda técnica, no un sustituto de asesoría legal: la aplicabilidad exacta de estas reglas varía por país, y la revisión legal de cumplimiento normativo por país queda fuera del alcance de este proyecto de diseño (Fase 11). Se documenta aquí porque es una responsabilidad psicométrica detectar el problema, incluso si la responsabilidad legal de resolverlo es de otro equipo.</w:t>
      </w:r>
    </w:p>
    <w:p>
      <w:pPr>
        <w:pStyle w:val="ListParagraph"/>
        <w:numPr>
          <w:ilvl w:val="0"/>
          <w:numId w:val="2"/>
        </w:numPr>
        <w:spacing w:after="80"/>
      </w:pPr>
      <w:r>
        <w:rPr>
          <w:rFonts w:ascii="Calibri" w:cs="Calibri" w:eastAsia="Calibri" w:hAnsi="Calibri"/>
          <w:sz w:val="22"/>
          <w:szCs w:val="22"/>
        </w:rPr>
        <w:t xml:space="preserve">[HECHO] Al igual que el AFE/AFC/DIF (Sección 6), este análisis debe repetirse por país una vez cada país tenga volumen suficiente (DECISIONS.md punto 39): un punto de corte sin impacto adverso a nivel global podría producirlo dentro de un país específico, si la composición demográfica de ese subgrupo difiere de la muestra combinada.</w:t>
      </w:r>
    </w:p>
    <w:p>
      <w:pPr>
        <w:pStyle w:val="Heading1"/>
        <w:spacing w:after="150" w:before="300"/>
      </w:pPr>
      <w:r>
        <w:t xml:space="preserve">12. Relación con las siguientes fases</w:t>
      </w:r>
    </w:p>
    <w:p>
      <w:pPr>
        <w:spacing w:after="140"/>
      </w:pPr>
      <w:r>
        <w:rPr>
          <w:rFonts w:ascii="Calibri" w:cs="Calibri" w:eastAsia="Calibri" w:hAnsi="Calibri"/>
          <w:sz w:val="22"/>
          <w:szCs w:val="22"/>
        </w:rPr>
        <w:t xml:space="preserve">[HECHO] Este plan de validación es el criterio que debe usarse para decidir, con el primer conjunto real de datos piloto, qué partes del diseño actual (pesos de dimensión, valores psicométricos por reactivo, umbrales de invalidación, puntos de corte) se mantienen, se ajustan o se descartan. La Fase 10 (producto y modelo de negocio) y la Fase 11 (resumen consolidado) deben leerse teniendo en cuenta que el instrumento, tal como queda documentado en este proyecto, es una versión inicial lista para piloto, no un instrumento ya validado.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2026-09-07T03:36:00.995Z</dcterms:created>
  <dcterms:modified xsi:type="dcterms:W3CDTF">2026-09-07T03:36:00.995Z</dcterms:modified>
</cp:coreProperties>
</file>

<file path=docProps/custom.xml><?xml version="1.0" encoding="utf-8"?>
<Properties xmlns="http://schemas.openxmlformats.org/officeDocument/2006/custom-properties" xmlns:vt="http://schemas.openxmlformats.org/officeDocument/2006/docPropsVTypes"/>
</file>