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Fase 11 — Resumen Ejecutivo Consolidado</w:t>
      </w:r>
    </w:p>
    <w:p>
      <w:pPr>
        <w:spacing w:after="14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[NOMBRE DEL INSTRUMENTO] — Nuevo instrumento de evaluación de integridad laboral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Preparado para: George (jsuasnavas@gmail.com)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Fecha: 6 de septiembre de 2026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Este documento cierra el proyecto 'Nuevo Instrumento de Integridad', ejecutado de forma autónoma en 11 fases entre el 6 de septiembre de 2026 y esta misma fecha. Resume el estado de cada componente, consolida los pendientes que requieren datos reales o una decisión humana, y ofrece un checklist de lo que falta antes de poder lanzar un piloto real. Con el cierre de esta fase, PROGRESS.json se marca como proyecto completo: no debe ejecutarse ninguna fase adicional de este plan de forma automática.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Convención de evidencia: [HECHO] = decisión ya aprobada por George en DECISIONS.md · [INFERENCIA] = derivado lógicamente de una decisión aprobada · [HIPÓTESIS] = elección razonable del equipo de diseño, no validada aún empíricamente · [DESCONOCIDO] = pendiente de dato piloto o de decisión comercial/legal de George.</w:t>
      </w:r>
    </w:p>
    <w:p>
      <w:pPr>
        <w:pStyle w:val="Heading1"/>
        <w:spacing w:after="150" w:before="300"/>
      </w:pPr>
      <w:r>
        <w:t xml:space="preserve">1. Qué es este instrumento, en una página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[NOMBRE DEL INSTRUMENTO] es un instrumento de autorreporte para evaluar integridad laboral, diseñado desde cero con arquitectura, lenguaje y reactivos 100% originales (Fases 1-5), tomando como referencia conceptual —nunca textual— el análisis de un instrumento de mercado ya existente (AMITAI®, documentado en los dos entregables previos del proyecto, fuera de esta carpeta). Mide 20 dimensiones agrupadas en dos familias: 12 dimensiones de 'Integridad Nuclear' (conductas de deshonestidad directa, que alimentan un índice general) y 8 dimensiones de 'Factores Contextuales' (vulnerabilidad situacional, reportadas aparte). Usa un banco de 80 reactivos de 6 tipos distintos, con pares espejo de consistencia en las 12 dimensiones Nucleares y 4 indicadores transversales de validez del protocolo (Fases 2-5). Se calcula mediante Teoría Clásica de los Tests con una fórmula propia y documentada (Índice General de Integridad, IGI, y su complemento IIC), preparado desde el diseño para migrar a Teoría de Respuesta al Ítem cuando exista muestra suficiente (Fase 6-7). Se lanzará bajo un modelo de negocio híbrido: versión individual gratuita y viral, y versión empresarial de pago para procesos de selección, ambas sobre el mismo motor de medición (Fase 10).</w:t>
      </w:r>
    </w:p>
    <w:p>
      <w:pPr>
        <w:pStyle w:val="Heading1"/>
        <w:spacing w:after="150" w:before="300"/>
      </w:pPr>
      <w:r>
        <w:t xml:space="preserve">2. Estado de cada componente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2600"/>
        <w:gridCol w:w="1300"/>
        <w:gridCol w:w="2700"/>
      </w:tblGrid>
      <w:tr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Entregable(s)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 clave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Arquitectura de dimensiones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Fase1_Dimensiones_NuevoInstrumento.docx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dimensiones (12 Integridad Nuclear + 8 Factores Contextuales), cada una con nombre propio, fuente teórica, definición operacional original y 4 indicadores conductuales.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Marco de reactivos y escalas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Fase2_Marco_Reactivos_Escalas.docx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tipos de reactivo, justificación de escala de opción variable, reglas de direccionalidad, diseño de pares espejo obligatorios (12 dimensiones Nucleares) y los 4 indicadores de validez con reglas de invalidación.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Banco de reactivos, parte 1 (dim. 1-7)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Fase3_Banco_Reactivos_Parte1.docx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28 reactivos originales (R001-R028), formato de 16 campos.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Banco de reactivos, parte 2 (dim. 8-14)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Fase4_Banco_Reactivos_Parte2.docx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28 reactivos originales (R029-R056), formato de 16 campos.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Banco de reactivos, parte 3 (dim. 15-20) y consolidado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Fase5_Banco_Reactivos_Parte3_y_Consolidado.docx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 reactivos originales (R057-R080) y tabla de consolidación de los 80 reactivos del banco completo.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Matriz de scoring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Fase6_Matriz_Scoring.xlsx + Fase6_Modelo_Calculo.docx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Matriz Excel con fórmulas en vivo (sin errores de recálculo) y fórmula narrativa completa reactivo→dimensión→Índice General de Integridad (IGI), con tratamiento de invalidación parcial/total.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Ejemplo de cálculo paso a paso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Fase7_Ejemplo_Calculo.docx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Candidato ficticio 'Persona X' con cálculo completo, incluyendo detección de una contradicción real y su efecto en el IGI, en ambas capas de salida.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Marco de normas y plan de recolección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Fase8_Marco_Normas_Plan_Recoleccion.docx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Fórmulas de estandarización, metas de tamaño muestral, periodicidad de recalibración y plan operativo de recolección piloto (sin estadísticas reales).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de validación psicométrica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Fase9_Plan_Validacion.docx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de análisis de ítems, fiabilidad, estructura factorial, TRI/IRT, DIF, validez y puntos de corte (sin resultados simulados).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Diseño de producto y modelo de negocio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Fase10_Producto_Modelo_Negocio.docx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Flujo B2C viral y B2B de pago, mismo motor psicométrico, niveles de precio conceptuales sin cifras reales.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Resumen ejecutivo consolidado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Fase11_Resumen_Ejecutivo_Consolidado.docx (este documento)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Cierre del proyecto de diseño.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[HECHO] </w:t>
      </w:r>
      <w:r>
        <w:rPr>
          <w:rFonts w:ascii="Calibri" w:cs="Calibri" w:eastAsia="Calibri" w:hAnsi="Calibri"/>
          <w:sz w:val="22"/>
          <w:szCs w:val="22"/>
        </w:rPr>
        <w:t xml:space="preserve">Las 11 fases del plan maestro (PLAN.md) están completas. El proyecto de diseño conceptual, tal como fue encargado, ha concluido.</w:t>
      </w:r>
    </w:p>
    <w:p>
      <w:pPr>
        <w:pStyle w:val="Heading1"/>
        <w:spacing w:after="150" w:before="300"/>
      </w:pPr>
      <w:r>
        <w:t xml:space="preserve">3. Lo que este proyecto SÍ entrega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 modelo psicométrico completo y auditable: 20 dimensiones con fundamento teórico propio, 80 reactivos originales con 16 campos de metadatos cada uno, y una fórmula de cálculo (IGI/IIC) completamente documentada y trazable desde la respuesta cruda hasta el resultado final.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Una matriz de scoring funcional (Fase6_Matriz_Scoring.xlsx) con fórmulas en vivo, verificada sin errores de recálculo, que puede recalcularse ante cambios de pesos o respuestas.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 ejemplo de cálculo completo y verificable a mano, incluyendo el manejo real de una contradicción detectada y su efecto en el resultado final.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 plan concreto (no solo una intención) de cómo recolectar datos piloto, cómo calcular una norma real a partir de ellos, y cómo validar psicométricamente todo el modelo.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 diseño de producto y modelo de negocio coherente con el modelo híbrido B2C/B2B aprobado, sin inventar cifras comerciales reales.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Trazabilidad completa de decisiones: cada supuesto no cubierto explícitamente por DECISIONS.md o PLAN.md quedó registrado en ASSUMPTIONS.md, y cada afirmación de este proyecto está etiquetada como HECHO, INFERENCIA, HIPÓTESIS o DESCONOCIDO.</w:t>
      </w:r>
    </w:p>
    <w:p>
      <w:pPr>
        <w:pStyle w:val="Heading1"/>
        <w:spacing w:after="150" w:before="300"/>
      </w:pPr>
      <w:r>
        <w:t xml:space="preserve">4. Lo que este proyecto NO entrega (y por qué)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Ningún dato psicométrico real: cero medias, desviaciones estándar, percentiles, cargas factoriales, alfas, correlaciones o tasas de error simuladas. Todo eso requiere el piloto real descrito en la Fase 8, que está fuera del alcance de este proyecto de diseño (DECISIONS.md, regla permanente).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Ninguna validación empírica de que las 20 dimensiones son estadísticamente distinguibles entre sí, de que el banco de 80 reactivos discrimina adecuadamente, o de que los pesos iguales asignados a las 12 dimensiones Nucleares son los correctos: todo esto es una hipótesis de diseño inicial (Fases 1, 2 y 6), pendiente del análisis de la Fase 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Ninguna revisión legal de cumplimiento normativo (protección de datos, legislación laboral y de pruebas psicológicas en procesos de selección, por país) para el uso comercial de la versión B2B (Fase 10, Sección 3.2); esta revisión debe encargarse a asesoría legal especializada antes de cualquier venta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Ningún nombre de marca ni identidad visual: el proyecto usa consistentemente el placeholder [NOMBRE DEL INSTRUMENTO] en los 10 documentos técnicos, a la espera de que George defina el nombre comercial (DECISIONS.md, punto 11).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Ninguna cifra de precio real para los niveles de servicio B2B ni para el reporte premium B2C (Fase 10): son estructuras conceptuales de paquete, no un tarifario.</w:t>
      </w:r>
    </w:p>
    <w:p>
      <w:pPr>
        <w:pStyle w:val="Heading1"/>
        <w:spacing w:after="150" w:before="300"/>
      </w:pPr>
      <w:r>
        <w:t xml:space="preserve">5. Lista de pendientes que requieren datos reales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Ejecutar el piloto de recolección de datos (Fase 8): mínimo 400-800 casos combinados B2C+B2B antes del primer análisis factorial.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Calcular la primera norma provisional (Fase 8): media, desviación estándar y percentiles reales del IGI, con al menos 300 casos.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Ejecutar el plan de validación completo (Fase 9): endoso/discriminación por ítem, alfa/omega, AFE/AFC, DIF, validez convergente/discriminante/criterial.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Definir los puntos de corte de riesgo (Bajo/Moderado/Alto) de forma empírica (Fase 9, Sección 8), reemplazando el uso ilustrativo de la Fase 7.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Evaluar la migración a TRI/IRT una vez exista volumen suficiente (Fase 9, Sección 5).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Recalibrar los pesos de las 12 dimensiones Nucleares (actualmente iguales, 1/12 cada una) si el análisis factorial lo justifica (Fase 6, Fase 9).</w:t>
      </w:r>
    </w:p>
    <w:p>
      <w:pPr>
        <w:pStyle w:val="Heading1"/>
        <w:spacing w:after="150" w:before="300"/>
      </w:pPr>
      <w:r>
        <w:t xml:space="preserve">6. Lista de pendientes que requieren decisión humana (de George)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Definir el nombre comercial del instrumento (reemplaza [NOMBRE DEL INSTRUMENTO] en los 10 documentos técnicos mediante una sola pasada de buscar-y-reemplazar, según lo previsto en DECISIONS.md).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Encargar la revisión legal de cumplimiento normativo para la versión B2B, por país objetivo de lanzamiento.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Decidir el precio real de cada nivel de servicio B2B (Starter/Team/Enterprise) y del reporte premium B2C (Fase 10, Sección 3.4 y 2.5).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Decidir y validar editorialmente los nombres de los 'arquetipos de perfil' de la capa individual viral (Fase 10, Sección 2.3), incluyendo una revisión de sensibilidad para evitar etiquetas estigmatizantes.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Seleccionar las organizaciones piloto del canal B2B (Fase 8, Sección 5.1) y negociar el acceso a datos de criterio externo (desempeño/incidentes) necesario para la validez de criterio (Fase 9, Sección 7.2).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Decidir la plataforma técnica de implementación (web app, proveedor de hosting, motor de encuestas) — este proyecto entrega el diseño psicométrico y de producto, no una implementación de software.</w:t>
      </w:r>
    </w:p>
    <w:p>
      <w:pPr>
        <w:pStyle w:val="Heading1"/>
        <w:spacing w:after="150" w:before="300"/>
      </w:pPr>
      <w:r>
        <w:t xml:space="preserve">7. Checklist final antes de lanzar un piloto real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Nombre comercial definido y reemplazado en todos los documentos.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Consentimientos informados (investigación y evaluación laboral) redactados y revisados legalmente (Fase 8, Sección 5.3; Fase 10, Sección 3.2).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Implementación técnica del flujo de 80 reactivos, con orden de presentación entrelazado entre dimensiones (Fase 10, Sección 2.2) y captura de las variables de contexto de la Fase 8.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Implementación de las fórmulas de la Fase 6 (idealmente derivadas directamente de Fase6_Matriz_Scoring.xlsx) en el sistema real, incluyendo el manejo de invalidación parcial/total.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Al menos 2-3 organizaciones piloto B2B confirmadas y al menos un canal de captación B2C activo, para alcanzar la meta de 400-800 casos de la Fase 8.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Plan de comunicación honesto sobre el estado 'piloto/early access' del instrumento, tanto en la capa individual como en la empresarial, dado que aún no cuenta con validación psicométrica completa.</w:t>
      </w:r>
    </w:p>
    <w:p>
      <w:pPr>
        <w:pStyle w:val="Heading1"/>
        <w:spacing w:after="150" w:before="300"/>
      </w:pPr>
      <w:r>
        <w:t xml:space="preserve">8. Cierre del proyecto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[HECHO] </w:t>
      </w:r>
      <w:r>
        <w:rPr>
          <w:rFonts w:ascii="Calibri" w:cs="Calibri" w:eastAsia="Calibri" w:hAnsi="Calibri"/>
          <w:sz w:val="22"/>
          <w:szCs w:val="22"/>
        </w:rPr>
        <w:t xml:space="preserve">Con este documento, las 11 fases de PLAN.md quedan completas. PROGRESS.json se actualiza para reflejar project_status = "completed". Cualquier trabajo futuro sobre este instrumento (ejecución del piloto, análisis de la Fase 9 con datos reales, definición de nombre comercial, implementación técnica) corresponde a un nuevo proyecto o a una nueva fase explícitamente encargada por George, no a una continuación automática de este plan.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2026-09-07T03:39:43.138Z</dcterms:created>
  <dcterms:modified xsi:type="dcterms:W3CDTF">2026-09-07T03:39:43.139Z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