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Fase 1 — Arquitectura de Dimensiones</w:t>
      </w:r>
    </w:p>
    <w:p>
      <w:pPr>
        <w:spacing w:after="120"/>
      </w:pPr>
      <w:r>
        <w:rPr>
          <w:b/>
          <w:i w:val="0"/>
          <w:sz w:val="26"/>
        </w:rPr>
        <w:t>[NOMBRE DEL INSTRUMENTO] — Nuevo instrumento de evaluación de integridad laboral</w:t>
      </w:r>
    </w:p>
    <w:p>
      <w:pPr>
        <w:spacing w:after="120"/>
      </w:pPr>
      <w:r>
        <w:rPr>
          <w:b w:val="0"/>
          <w:i w:val="0"/>
        </w:rPr>
        <w:t>Preparado para: George (jsuasnavas@gmail.com)</w:t>
      </w:r>
    </w:p>
    <w:p>
      <w:pPr>
        <w:spacing w:after="120"/>
      </w:pPr>
      <w:r>
        <w:rPr>
          <w:b w:val="0"/>
          <w:i w:val="0"/>
        </w:rPr>
        <w:t>Fecha: 6 de septiembre de 2026</w:t>
      </w:r>
    </w:p>
    <w:p>
      <w:pPr>
        <w:spacing w:after="120"/>
      </w:pPr>
      <w:r>
        <w:rPr>
          <w:b w:val="0"/>
          <w:i w:val="0"/>
        </w:rPr>
        <w:t>Este documento define la arquitectura de las 20 dimensiones del nuevo instrumento, construida de forma independiente y original a partir de las decisiones de diseño aprobadas en DECISIONS.md. Las 17 dimensiones equivalentes a las identificadas en el análisis de la Fase 1 de reconstrucción de AMITAI® (ver Fase1_Analisis_AMITAI.docx) fueron renombradas y redefinidas con nombre propio, fuente teórica propia y redacción 100% original; ninguna definición, reactivo o texto de este documento reproduce o parafrasea el contenido de AMITAI®, Midot o Kudert. Se agregan además 3 dimensiones nuevas que cubren brechas detectadas en el análisis previo: Conflicto de Interés, Uso Indebido de Recursos No Físicos y Percepción de Impunidad.</w:t>
      </w:r>
    </w:p>
    <w:p>
      <w:pPr>
        <w:spacing w:after="120"/>
      </w:pPr>
      <w:r>
        <w:rPr>
          <w:b w:val="0"/>
          <w:i/>
          <w:sz w:val="18"/>
        </w:rPr>
        <w:t>Convención de evidencia: [HECHO] = decisión ya aprobada por George en DECISIONS.md · [INFERENCIA] = derivado lógicamente de una decisión aprobada · [HIPÓTESIS] = elección razonable del equipo de diseño, no validada aún empíricamente · [DESCONOCIDO] = pendiente de dato piloto.</w:t>
      </w:r>
    </w:p>
    <w:p>
      <w:r>
        <w:br w:type="page"/>
      </w:r>
    </w:p>
    <w:p>
      <w:pPr>
        <w:pStyle w:val="Heading1"/>
      </w:pPr>
      <w:r>
        <w:t>1. Criterio general de diseño</w:t>
      </w:r>
    </w:p>
    <w:p>
      <w:pPr>
        <w:spacing w:after="120"/>
      </w:pPr>
      <w:r>
        <w:rPr>
          <w:b w:val="0"/>
          <w:i w:val="0"/>
        </w:rPr>
        <w:t>[HECHO] El instrumento mide 20 dimensiones, organizadas en dos familias con función distinta dentro del cálculo del índice general (ver Fase 6 — Matriz de Scoring): la familia "Integridad Nuclear" agrupa las dimensiones que describen directamente comportamientos de deshonestidad hacia la organización, terceros o el sistema social, y son las que alimentan el índice general de integridad. La familia "Factores Contextuales" agrupa variables de vulnerabilidad, autorregulación o circunstancia personal que no son, en sí mismas, conductas deshonestas, pero que la literatura de riesgo laboral asocia con mayor probabilidad de incurrir en ellas; estas dimensiones se reportan de forma separada y no se promedian dentro del índice general, aunque pueden usarse como factor de contexto o alerta complementaria.</w:t>
      </w:r>
    </w:p>
    <w:p>
      <w:pPr>
        <w:spacing w:after="120"/>
      </w:pPr>
      <w:r>
        <w:rPr>
          <w:b w:val="0"/>
          <w:i w:val="0"/>
        </w:rPr>
        <w:t>[INFERENCIA] Esta separación en dos familias es funcionalmente equivalente a la distinción Honestidad/Incidencia identificada en el análisis de la Fase 1 sobre AMITAI®, pero se nombra y justifica aquí de forma propia (Integridad Nuclear / Factores Contextuales) y se documenta con una lógica de cálculo explícita y auditable desde el diseño, en vez de dejarla implícita.</w:t>
      </w:r>
    </w:p>
    <w:p>
      <w:pPr>
        <w:spacing w:after="120"/>
      </w:pPr>
      <w:r>
        <w:rPr>
          <w:b w:val="0"/>
          <w:i w:val="0"/>
        </w:rPr>
        <w:t>Cada una de las 20 fichas de dimensión que siguen en la Sección 3 incluye: nombre propio, familia, fundamento teórico citado (con al menos una fuente adicional o distinta a HEXACO, Teoría de la Acción Razonada o el Triángulo del Fraude cuando aplica, para evitar dependencia de un único marco), definición operacional redactada íntegramente desde cero a partir del constructo — no desde ejemplos de reactivos de terceros — y de 2 a 4 indicadores conductuales observables que servirán de base directa para la redacción del banco de reactivos en las Fases 3 a 5.</w:t>
      </w:r>
    </w:p>
    <w:p>
      <w:pPr>
        <w:pStyle w:val="Heading1"/>
      </w:pPr>
      <w:r>
        <w:t>2. Resumen de las 20 dimensiones</w:t>
      </w:r>
    </w:p>
    <w:p>
      <w:pPr>
        <w:spacing w:after="120"/>
      </w:pPr>
      <w:r>
        <w:rPr>
          <w:b w:val="0"/>
          <w:i w:val="0"/>
        </w:rPr>
        <w:t>La columna "Origen" indica si la dimensión es una redefinición con nombre propio de un constructo equivalente identificado en el análisis de la Fase 1 (Renombrada) o si es una dimensión nueva que cubre una brecha detectada en dicho análisis (Nueva).</w:t>
      </w:r>
    </w:p>
    <w:tbl>
      <w:tblPr>
        <w:tblW w:type="auto" w:w="0"/>
        <w:jc w:val="center"/>
        <w:tblLook w:firstColumn="1" w:firstRow="1" w:lastColumn="0" w:lastRow="0" w:noHBand="0" w:noVBand="1" w:val="04A0"/>
      </w:tblPr>
      <w:tblGrid>
        <w:gridCol w:w="1949"/>
        <w:gridCol w:w="1949"/>
        <w:gridCol w:w="1949"/>
        <w:gridCol w:w="1949"/>
        <w:gridCol w:w="1949"/>
      </w:tblGrid>
      <w:tr>
        <w:tc>
          <w:tcPr>
            <w:tcW w:type="dxa" w:w="454"/>
            <w:shd w:val="clear" w:color="auto" w:fill="1F3864"/>
          </w:tcPr>
          <w:p>
            <w:r>
              <w:rPr>
                <w:b/>
                <w:color w:val="FFFFFF"/>
                <w:sz w:val="18"/>
              </w:rPr>
              <w:t>#</w:t>
            </w:r>
          </w:p>
        </w:tc>
        <w:tc>
          <w:tcPr>
            <w:tcW w:type="dxa" w:w="2721"/>
            <w:shd w:val="clear" w:color="auto" w:fill="1F3864"/>
          </w:tcPr>
          <w:p>
            <w:r>
              <w:rPr>
                <w:b/>
                <w:color w:val="FFFFFF"/>
                <w:sz w:val="18"/>
              </w:rPr>
              <w:t>Dimensión</w:t>
            </w:r>
          </w:p>
        </w:tc>
        <w:tc>
          <w:tcPr>
            <w:tcW w:type="dxa" w:w="1701"/>
            <w:shd w:val="clear" w:color="auto" w:fill="1F3864"/>
          </w:tcPr>
          <w:p>
            <w:r>
              <w:rPr>
                <w:b/>
                <w:color w:val="FFFFFF"/>
                <w:sz w:val="18"/>
              </w:rPr>
              <w:t>Familia</w:t>
            </w:r>
          </w:p>
        </w:tc>
        <w:tc>
          <w:tcPr>
            <w:tcW w:type="dxa" w:w="1247"/>
            <w:shd w:val="clear" w:color="auto" w:fill="1F3864"/>
          </w:tcPr>
          <w:p>
            <w:r>
              <w:rPr>
                <w:b/>
                <w:color w:val="FFFFFF"/>
                <w:sz w:val="18"/>
              </w:rPr>
              <w:t>Origen</w:t>
            </w:r>
          </w:p>
        </w:tc>
        <w:tc>
          <w:tcPr>
            <w:tcW w:type="dxa" w:w="3402"/>
            <w:shd w:val="clear" w:color="auto" w:fill="1F3864"/>
          </w:tcPr>
          <w:p>
            <w:r>
              <w:rPr>
                <w:b/>
                <w:color w:val="FFFFFF"/>
                <w:sz w:val="18"/>
              </w:rPr>
              <w:t>Fuente teórica principal</w:t>
            </w:r>
          </w:p>
        </w:tc>
      </w:tr>
      <w:tr>
        <w:tc>
          <w:tcPr>
            <w:tcW w:type="dxa" w:w="454"/>
          </w:tcPr>
          <w:p>
            <w:r>
              <w:rPr>
                <w:sz w:val="18"/>
              </w:rPr>
              <w:t>1</w:t>
            </w:r>
          </w:p>
        </w:tc>
        <w:tc>
          <w:tcPr>
            <w:tcW w:type="dxa" w:w="2721"/>
          </w:tcPr>
          <w:p>
            <w:r>
              <w:rPr>
                <w:sz w:val="18"/>
              </w:rPr>
              <w:t>Respeto a la Propiedad Ajena</w:t>
            </w:r>
          </w:p>
        </w:tc>
        <w:tc>
          <w:tcPr>
            <w:tcW w:type="dxa" w:w="1701"/>
          </w:tcPr>
          <w:p>
            <w:r>
              <w:rPr>
                <w:sz w:val="18"/>
              </w:rPr>
              <w:t>Integridad Nuclear</w:t>
            </w:r>
          </w:p>
        </w:tc>
        <w:tc>
          <w:tcPr>
            <w:tcW w:type="dxa" w:w="1247"/>
          </w:tcPr>
          <w:p>
            <w:r>
              <w:rPr>
                <w:sz w:val="18"/>
              </w:rPr>
              <w:t>Renombrada</w:t>
            </w:r>
          </w:p>
        </w:tc>
        <w:tc>
          <w:tcPr>
            <w:tcW w:type="dxa" w:w="3402"/>
          </w:tcPr>
          <w:p>
            <w:r>
              <w:rPr>
                <w:sz w:val="18"/>
              </w:rPr>
              <w:t>Teoría General del Autocontrol (Gottfredson &amp; Hirschi, 1990)</w:t>
            </w:r>
          </w:p>
        </w:tc>
      </w:tr>
      <w:tr>
        <w:tc>
          <w:tcPr>
            <w:tcW w:type="dxa" w:w="454"/>
          </w:tcPr>
          <w:p>
            <w:r>
              <w:rPr>
                <w:sz w:val="18"/>
              </w:rPr>
              <w:t>2</w:t>
            </w:r>
          </w:p>
        </w:tc>
        <w:tc>
          <w:tcPr>
            <w:tcW w:type="dxa" w:w="2721"/>
          </w:tcPr>
          <w:p>
            <w:r>
              <w:rPr>
                <w:sz w:val="18"/>
              </w:rPr>
              <w:t>Integridad Transaccional</w:t>
            </w:r>
          </w:p>
        </w:tc>
        <w:tc>
          <w:tcPr>
            <w:tcW w:type="dxa" w:w="1701"/>
          </w:tcPr>
          <w:p>
            <w:r>
              <w:rPr>
                <w:sz w:val="18"/>
              </w:rPr>
              <w:t>Integridad Nuclear</w:t>
            </w:r>
          </w:p>
        </w:tc>
        <w:tc>
          <w:tcPr>
            <w:tcW w:type="dxa" w:w="1247"/>
          </w:tcPr>
          <w:p>
            <w:r>
              <w:rPr>
                <w:sz w:val="18"/>
              </w:rPr>
              <w:t>Renombrada</w:t>
            </w:r>
          </w:p>
        </w:tc>
        <w:tc>
          <w:tcPr>
            <w:tcW w:type="dxa" w:w="3402"/>
          </w:tcPr>
          <w:p>
            <w:r>
              <w:rPr>
                <w:sz w:val="18"/>
              </w:rPr>
              <w:t>Teoría Económica del Crimen (Becker, 1968)</w:t>
            </w:r>
          </w:p>
        </w:tc>
      </w:tr>
      <w:tr>
        <w:tc>
          <w:tcPr>
            <w:tcW w:type="dxa" w:w="454"/>
          </w:tcPr>
          <w:p>
            <w:r>
              <w:rPr>
                <w:sz w:val="18"/>
              </w:rPr>
              <w:t>3</w:t>
            </w:r>
          </w:p>
        </w:tc>
        <w:tc>
          <w:tcPr>
            <w:tcW w:type="dxa" w:w="2721"/>
          </w:tcPr>
          <w:p>
            <w:r>
              <w:rPr>
                <w:sz w:val="18"/>
              </w:rPr>
              <w:t>Coherencia Declarativa</w:t>
            </w:r>
          </w:p>
        </w:tc>
        <w:tc>
          <w:tcPr>
            <w:tcW w:type="dxa" w:w="1701"/>
          </w:tcPr>
          <w:p>
            <w:r>
              <w:rPr>
                <w:sz w:val="18"/>
              </w:rPr>
              <w:t>Integridad Nuclear</w:t>
            </w:r>
          </w:p>
        </w:tc>
        <w:tc>
          <w:tcPr>
            <w:tcW w:type="dxa" w:w="1247"/>
          </w:tcPr>
          <w:p>
            <w:r>
              <w:rPr>
                <w:sz w:val="18"/>
              </w:rPr>
              <w:t>Renombrada</w:t>
            </w:r>
          </w:p>
        </w:tc>
        <w:tc>
          <w:tcPr>
            <w:tcW w:type="dxa" w:w="3402"/>
          </w:tcPr>
          <w:p>
            <w:r>
              <w:rPr>
                <w:sz w:val="18"/>
              </w:rPr>
              <w:t>Teoría de la Identidad Moral (Aquino &amp; Reed, 2002)</w:t>
            </w:r>
          </w:p>
        </w:tc>
      </w:tr>
      <w:tr>
        <w:tc>
          <w:tcPr>
            <w:tcW w:type="dxa" w:w="454"/>
          </w:tcPr>
          <w:p>
            <w:r>
              <w:rPr>
                <w:sz w:val="18"/>
              </w:rPr>
              <w:t>4</w:t>
            </w:r>
          </w:p>
        </w:tc>
        <w:tc>
          <w:tcPr>
            <w:tcW w:type="dxa" w:w="2721"/>
          </w:tcPr>
          <w:p>
            <w:r>
              <w:rPr>
                <w:sz w:val="18"/>
              </w:rPr>
              <w:t>Compromiso Ético Organizacional</w:t>
            </w:r>
          </w:p>
        </w:tc>
        <w:tc>
          <w:tcPr>
            <w:tcW w:type="dxa" w:w="1701"/>
          </w:tcPr>
          <w:p>
            <w:r>
              <w:rPr>
                <w:sz w:val="18"/>
              </w:rPr>
              <w:t>Integridad Nuclear</w:t>
            </w:r>
          </w:p>
        </w:tc>
        <w:tc>
          <w:tcPr>
            <w:tcW w:type="dxa" w:w="1247"/>
          </w:tcPr>
          <w:p>
            <w:r>
              <w:rPr>
                <w:sz w:val="18"/>
              </w:rPr>
              <w:t>Renombrada</w:t>
            </w:r>
          </w:p>
        </w:tc>
        <w:tc>
          <w:tcPr>
            <w:tcW w:type="dxa" w:w="3402"/>
          </w:tcPr>
          <w:p>
            <w:r>
              <w:rPr>
                <w:sz w:val="18"/>
              </w:rPr>
              <w:t>Teoría del Intercambio Social (Blau, 1964)</w:t>
            </w:r>
          </w:p>
        </w:tc>
      </w:tr>
      <w:tr>
        <w:tc>
          <w:tcPr>
            <w:tcW w:type="dxa" w:w="454"/>
          </w:tcPr>
          <w:p>
            <w:r>
              <w:rPr>
                <w:sz w:val="18"/>
              </w:rPr>
              <w:t>5</w:t>
            </w:r>
          </w:p>
        </w:tc>
        <w:tc>
          <w:tcPr>
            <w:tcW w:type="dxa" w:w="2721"/>
          </w:tcPr>
          <w:p>
            <w:r>
              <w:rPr>
                <w:sz w:val="18"/>
              </w:rPr>
              <w:t>Respeto a la Autonomía Sexual Laboral</w:t>
            </w:r>
          </w:p>
        </w:tc>
        <w:tc>
          <w:tcPr>
            <w:tcW w:type="dxa" w:w="1701"/>
          </w:tcPr>
          <w:p>
            <w:r>
              <w:rPr>
                <w:sz w:val="18"/>
              </w:rPr>
              <w:t>Integridad Nuclear</w:t>
            </w:r>
          </w:p>
        </w:tc>
        <w:tc>
          <w:tcPr>
            <w:tcW w:type="dxa" w:w="1247"/>
          </w:tcPr>
          <w:p>
            <w:r>
              <w:rPr>
                <w:sz w:val="18"/>
              </w:rPr>
              <w:t>Renombrada</w:t>
            </w:r>
          </w:p>
        </w:tc>
        <w:tc>
          <w:tcPr>
            <w:tcW w:type="dxa" w:w="3402"/>
          </w:tcPr>
          <w:p>
            <w:r>
              <w:rPr>
                <w:sz w:val="18"/>
              </w:rPr>
              <w:t>Teoría de la Justicia Organizacional (Colquitt, 2001)</w:t>
            </w:r>
          </w:p>
        </w:tc>
      </w:tr>
      <w:tr>
        <w:tc>
          <w:tcPr>
            <w:tcW w:type="dxa" w:w="454"/>
          </w:tcPr>
          <w:p>
            <w:r>
              <w:rPr>
                <w:sz w:val="18"/>
              </w:rPr>
              <w:t>6</w:t>
            </w:r>
          </w:p>
        </w:tc>
        <w:tc>
          <w:tcPr>
            <w:tcW w:type="dxa" w:w="2721"/>
          </w:tcPr>
          <w:p>
            <w:r>
              <w:rPr>
                <w:sz w:val="18"/>
              </w:rPr>
              <w:t>Uso Ético del Poder Interpersonal</w:t>
            </w:r>
          </w:p>
        </w:tc>
        <w:tc>
          <w:tcPr>
            <w:tcW w:type="dxa" w:w="1701"/>
          </w:tcPr>
          <w:p>
            <w:r>
              <w:rPr>
                <w:sz w:val="18"/>
              </w:rPr>
              <w:t>Integridad Nuclear</w:t>
            </w:r>
          </w:p>
        </w:tc>
        <w:tc>
          <w:tcPr>
            <w:tcW w:type="dxa" w:w="1247"/>
          </w:tcPr>
          <w:p>
            <w:r>
              <w:rPr>
                <w:sz w:val="18"/>
              </w:rPr>
              <w:t>Renombrada</w:t>
            </w:r>
          </w:p>
        </w:tc>
        <w:tc>
          <w:tcPr>
            <w:tcW w:type="dxa" w:w="3402"/>
          </w:tcPr>
          <w:p>
            <w:r>
              <w:rPr>
                <w:sz w:val="18"/>
              </w:rPr>
              <w:t>Teoría de la Desconexión Moral (Bandura, 1999)</w:t>
            </w:r>
          </w:p>
        </w:tc>
      </w:tr>
      <w:tr>
        <w:tc>
          <w:tcPr>
            <w:tcW w:type="dxa" w:w="454"/>
          </w:tcPr>
          <w:p>
            <w:r>
              <w:rPr>
                <w:sz w:val="18"/>
              </w:rPr>
              <w:t>7</w:t>
            </w:r>
          </w:p>
        </w:tc>
        <w:tc>
          <w:tcPr>
            <w:tcW w:type="dxa" w:w="2721"/>
          </w:tcPr>
          <w:p>
            <w:r>
              <w:rPr>
                <w:sz w:val="18"/>
              </w:rPr>
              <w:t>Equidad de Trato Interpersonal</w:t>
            </w:r>
          </w:p>
        </w:tc>
        <w:tc>
          <w:tcPr>
            <w:tcW w:type="dxa" w:w="1701"/>
          </w:tcPr>
          <w:p>
            <w:r>
              <w:rPr>
                <w:sz w:val="18"/>
              </w:rPr>
              <w:t>Integridad Nuclear</w:t>
            </w:r>
          </w:p>
        </w:tc>
        <w:tc>
          <w:tcPr>
            <w:tcW w:type="dxa" w:w="1247"/>
          </w:tcPr>
          <w:p>
            <w:r>
              <w:rPr>
                <w:sz w:val="18"/>
              </w:rPr>
              <w:t>Renombrada</w:t>
            </w:r>
          </w:p>
        </w:tc>
        <w:tc>
          <w:tcPr>
            <w:tcW w:type="dxa" w:w="3402"/>
          </w:tcPr>
          <w:p>
            <w:r>
              <w:rPr>
                <w:sz w:val="18"/>
              </w:rPr>
              <w:t>Teoría del Contacto Intergrupal (Allport, 1954)</w:t>
            </w:r>
          </w:p>
        </w:tc>
      </w:tr>
      <w:tr>
        <w:tc>
          <w:tcPr>
            <w:tcW w:type="dxa" w:w="454"/>
          </w:tcPr>
          <w:p>
            <w:r>
              <w:rPr>
                <w:sz w:val="18"/>
              </w:rPr>
              <w:t>8</w:t>
            </w:r>
          </w:p>
        </w:tc>
        <w:tc>
          <w:tcPr>
            <w:tcW w:type="dxa" w:w="2721"/>
          </w:tcPr>
          <w:p>
            <w:r>
              <w:rPr>
                <w:sz w:val="18"/>
              </w:rPr>
              <w:t>Responsabilización por Resultados</w:t>
            </w:r>
          </w:p>
        </w:tc>
        <w:tc>
          <w:tcPr>
            <w:tcW w:type="dxa" w:w="1701"/>
          </w:tcPr>
          <w:p>
            <w:r>
              <w:rPr>
                <w:sz w:val="18"/>
              </w:rPr>
              <w:t>Integridad Nuclear</w:t>
            </w:r>
          </w:p>
        </w:tc>
        <w:tc>
          <w:tcPr>
            <w:tcW w:type="dxa" w:w="1247"/>
          </w:tcPr>
          <w:p>
            <w:r>
              <w:rPr>
                <w:sz w:val="18"/>
              </w:rPr>
              <w:t>Renombrada</w:t>
            </w:r>
          </w:p>
        </w:tc>
        <w:tc>
          <w:tcPr>
            <w:tcW w:type="dxa" w:w="3402"/>
          </w:tcPr>
          <w:p>
            <w:r>
              <w:rPr>
                <w:sz w:val="18"/>
              </w:rPr>
              <w:t>Teoría de la Atribución Causal (Weiner, 1985)</w:t>
            </w:r>
          </w:p>
        </w:tc>
      </w:tr>
      <w:tr>
        <w:tc>
          <w:tcPr>
            <w:tcW w:type="dxa" w:w="454"/>
          </w:tcPr>
          <w:p>
            <w:r>
              <w:rPr>
                <w:sz w:val="18"/>
              </w:rPr>
              <w:t>9</w:t>
            </w:r>
          </w:p>
        </w:tc>
        <w:tc>
          <w:tcPr>
            <w:tcW w:type="dxa" w:w="2721"/>
          </w:tcPr>
          <w:p>
            <w:r>
              <w:rPr>
                <w:sz w:val="18"/>
              </w:rPr>
              <w:t>Integridad Documental e Informativa</w:t>
            </w:r>
          </w:p>
        </w:tc>
        <w:tc>
          <w:tcPr>
            <w:tcW w:type="dxa" w:w="1701"/>
          </w:tcPr>
          <w:p>
            <w:r>
              <w:rPr>
                <w:sz w:val="18"/>
              </w:rPr>
              <w:t>Integridad Nuclear</w:t>
            </w:r>
          </w:p>
        </w:tc>
        <w:tc>
          <w:tcPr>
            <w:tcW w:type="dxa" w:w="1247"/>
          </w:tcPr>
          <w:p>
            <w:r>
              <w:rPr>
                <w:sz w:val="18"/>
              </w:rPr>
              <w:t>Renombrada</w:t>
            </w:r>
          </w:p>
        </w:tc>
        <w:tc>
          <w:tcPr>
            <w:tcW w:type="dxa" w:w="3402"/>
          </w:tcPr>
          <w:p>
            <w:r>
              <w:rPr>
                <w:sz w:val="18"/>
              </w:rPr>
              <w:t>Teoría de la Neutralización (Sykes &amp; Matza, 1957)</w:t>
            </w:r>
          </w:p>
        </w:tc>
      </w:tr>
      <w:tr>
        <w:tc>
          <w:tcPr>
            <w:tcW w:type="dxa" w:w="454"/>
          </w:tcPr>
          <w:p>
            <w:r>
              <w:rPr>
                <w:sz w:val="18"/>
              </w:rPr>
              <w:t>10</w:t>
            </w:r>
          </w:p>
        </w:tc>
        <w:tc>
          <w:tcPr>
            <w:tcW w:type="dxa" w:w="2721"/>
          </w:tcPr>
          <w:p>
            <w:r>
              <w:rPr>
                <w:sz w:val="18"/>
              </w:rPr>
              <w:t>Distanciamiento de Redes de Ilegalidad</w:t>
            </w:r>
          </w:p>
        </w:tc>
        <w:tc>
          <w:tcPr>
            <w:tcW w:type="dxa" w:w="1701"/>
          </w:tcPr>
          <w:p>
            <w:r>
              <w:rPr>
                <w:sz w:val="18"/>
              </w:rPr>
              <w:t>Integridad Nuclear</w:t>
            </w:r>
          </w:p>
        </w:tc>
        <w:tc>
          <w:tcPr>
            <w:tcW w:type="dxa" w:w="1247"/>
          </w:tcPr>
          <w:p>
            <w:r>
              <w:rPr>
                <w:sz w:val="18"/>
              </w:rPr>
              <w:t>Renombrada</w:t>
            </w:r>
          </w:p>
        </w:tc>
        <w:tc>
          <w:tcPr>
            <w:tcW w:type="dxa" w:w="3402"/>
          </w:tcPr>
          <w:p>
            <w:r>
              <w:rPr>
                <w:sz w:val="18"/>
              </w:rPr>
              <w:t>Teoría de la Asociación Diferencial (Sutherland, 1947)</w:t>
            </w:r>
          </w:p>
        </w:tc>
      </w:tr>
      <w:tr>
        <w:tc>
          <w:tcPr>
            <w:tcW w:type="dxa" w:w="454"/>
          </w:tcPr>
          <w:p>
            <w:r>
              <w:rPr>
                <w:sz w:val="18"/>
              </w:rPr>
              <w:t>11</w:t>
            </w:r>
          </w:p>
        </w:tc>
        <w:tc>
          <w:tcPr>
            <w:tcW w:type="dxa" w:w="2721"/>
          </w:tcPr>
          <w:p>
            <w:r>
              <w:rPr>
                <w:sz w:val="18"/>
              </w:rPr>
              <w:t>Autorregulación ante Sustancias</w:t>
            </w:r>
          </w:p>
        </w:tc>
        <w:tc>
          <w:tcPr>
            <w:tcW w:type="dxa" w:w="1701"/>
          </w:tcPr>
          <w:p>
            <w:r>
              <w:rPr>
                <w:sz w:val="18"/>
              </w:rPr>
              <w:t>Factores Contextuales</w:t>
            </w:r>
          </w:p>
        </w:tc>
        <w:tc>
          <w:tcPr>
            <w:tcW w:type="dxa" w:w="1247"/>
          </w:tcPr>
          <w:p>
            <w:r>
              <w:rPr>
                <w:sz w:val="18"/>
              </w:rPr>
              <w:t>Renombrada</w:t>
            </w:r>
          </w:p>
        </w:tc>
        <w:tc>
          <w:tcPr>
            <w:tcW w:type="dxa" w:w="3402"/>
          </w:tcPr>
          <w:p>
            <w:r>
              <w:rPr>
                <w:sz w:val="18"/>
              </w:rPr>
              <w:t>Modelo Transteórico del Cambio (Prochaska &amp; DiClemente, 1983)</w:t>
            </w:r>
          </w:p>
        </w:tc>
      </w:tr>
      <w:tr>
        <w:tc>
          <w:tcPr>
            <w:tcW w:type="dxa" w:w="454"/>
          </w:tcPr>
          <w:p>
            <w:r>
              <w:rPr>
                <w:sz w:val="18"/>
              </w:rPr>
              <w:t>12</w:t>
            </w:r>
          </w:p>
        </w:tc>
        <w:tc>
          <w:tcPr>
            <w:tcW w:type="dxa" w:w="2721"/>
          </w:tcPr>
          <w:p>
            <w:r>
              <w:rPr>
                <w:sz w:val="18"/>
              </w:rPr>
              <w:t>Apego a la Norma Social</w:t>
            </w:r>
          </w:p>
        </w:tc>
        <w:tc>
          <w:tcPr>
            <w:tcW w:type="dxa" w:w="1701"/>
          </w:tcPr>
          <w:p>
            <w:r>
              <w:rPr>
                <w:sz w:val="18"/>
              </w:rPr>
              <w:t>Factores Contextuales</w:t>
            </w:r>
          </w:p>
        </w:tc>
        <w:tc>
          <w:tcPr>
            <w:tcW w:type="dxa" w:w="1247"/>
          </w:tcPr>
          <w:p>
            <w:r>
              <w:rPr>
                <w:sz w:val="18"/>
              </w:rPr>
              <w:t>Renombrada</w:t>
            </w:r>
          </w:p>
        </w:tc>
        <w:tc>
          <w:tcPr>
            <w:tcW w:type="dxa" w:w="3402"/>
          </w:tcPr>
          <w:p>
            <w:r>
              <w:rPr>
                <w:sz w:val="18"/>
              </w:rPr>
              <w:t>Teoría del Vínculo Social (Hirschi, 1969)</w:t>
            </w:r>
          </w:p>
        </w:tc>
      </w:tr>
      <w:tr>
        <w:tc>
          <w:tcPr>
            <w:tcW w:type="dxa" w:w="454"/>
          </w:tcPr>
          <w:p>
            <w:r>
              <w:rPr>
                <w:sz w:val="18"/>
              </w:rPr>
              <w:t>13</w:t>
            </w:r>
          </w:p>
        </w:tc>
        <w:tc>
          <w:tcPr>
            <w:tcW w:type="dxa" w:w="2721"/>
          </w:tcPr>
          <w:p>
            <w:r>
              <w:rPr>
                <w:sz w:val="18"/>
              </w:rPr>
              <w:t>Gestión Responsable de Recursos Propios</w:t>
            </w:r>
          </w:p>
        </w:tc>
        <w:tc>
          <w:tcPr>
            <w:tcW w:type="dxa" w:w="1701"/>
          </w:tcPr>
          <w:p>
            <w:r>
              <w:rPr>
                <w:sz w:val="18"/>
              </w:rPr>
              <w:t>Factores Contextuales</w:t>
            </w:r>
          </w:p>
        </w:tc>
        <w:tc>
          <w:tcPr>
            <w:tcW w:type="dxa" w:w="1247"/>
          </w:tcPr>
          <w:p>
            <w:r>
              <w:rPr>
                <w:sz w:val="18"/>
              </w:rPr>
              <w:t>Renombrada</w:t>
            </w:r>
          </w:p>
        </w:tc>
        <w:tc>
          <w:tcPr>
            <w:tcW w:type="dxa" w:w="3402"/>
          </w:tcPr>
          <w:p>
            <w:r>
              <w:rPr>
                <w:sz w:val="18"/>
              </w:rPr>
              <w:t>Teoría de la Conducta Planificada (Ajzen, 1991)</w:t>
            </w:r>
          </w:p>
        </w:tc>
      </w:tr>
      <w:tr>
        <w:tc>
          <w:tcPr>
            <w:tcW w:type="dxa" w:w="454"/>
          </w:tcPr>
          <w:p>
            <w:r>
              <w:rPr>
                <w:sz w:val="18"/>
              </w:rPr>
              <w:t>14</w:t>
            </w:r>
          </w:p>
        </w:tc>
        <w:tc>
          <w:tcPr>
            <w:tcW w:type="dxa" w:w="2721"/>
          </w:tcPr>
          <w:p>
            <w:r>
              <w:rPr>
                <w:sz w:val="18"/>
              </w:rPr>
              <w:t>Regulación de la Impulsividad</w:t>
            </w:r>
          </w:p>
        </w:tc>
        <w:tc>
          <w:tcPr>
            <w:tcW w:type="dxa" w:w="1701"/>
          </w:tcPr>
          <w:p>
            <w:r>
              <w:rPr>
                <w:sz w:val="18"/>
              </w:rPr>
              <w:t>Factores Contextuales</w:t>
            </w:r>
          </w:p>
        </w:tc>
        <w:tc>
          <w:tcPr>
            <w:tcW w:type="dxa" w:w="1247"/>
          </w:tcPr>
          <w:p>
            <w:r>
              <w:rPr>
                <w:sz w:val="18"/>
              </w:rPr>
              <w:t>Renombrada</w:t>
            </w:r>
          </w:p>
        </w:tc>
        <w:tc>
          <w:tcPr>
            <w:tcW w:type="dxa" w:w="3402"/>
          </w:tcPr>
          <w:p>
            <w:r>
              <w:rPr>
                <w:sz w:val="18"/>
              </w:rPr>
              <w:t>Teoría de la Autorregulación del Yo (Baumeister, 1994)</w:t>
            </w:r>
          </w:p>
        </w:tc>
      </w:tr>
      <w:tr>
        <w:tc>
          <w:tcPr>
            <w:tcW w:type="dxa" w:w="454"/>
          </w:tcPr>
          <w:p>
            <w:r>
              <w:rPr>
                <w:sz w:val="18"/>
              </w:rPr>
              <w:t>15</w:t>
            </w:r>
          </w:p>
        </w:tc>
        <w:tc>
          <w:tcPr>
            <w:tcW w:type="dxa" w:w="2721"/>
          </w:tcPr>
          <w:p>
            <w:r>
              <w:rPr>
                <w:sz w:val="18"/>
              </w:rPr>
              <w:t>Manejo No Violento del Conflicto</w:t>
            </w:r>
          </w:p>
        </w:tc>
        <w:tc>
          <w:tcPr>
            <w:tcW w:type="dxa" w:w="1701"/>
          </w:tcPr>
          <w:p>
            <w:r>
              <w:rPr>
                <w:sz w:val="18"/>
              </w:rPr>
              <w:t>Factores Contextuales</w:t>
            </w:r>
          </w:p>
        </w:tc>
        <w:tc>
          <w:tcPr>
            <w:tcW w:type="dxa" w:w="1247"/>
          </w:tcPr>
          <w:p>
            <w:r>
              <w:rPr>
                <w:sz w:val="18"/>
              </w:rPr>
              <w:t>Renombrada</w:t>
            </w:r>
          </w:p>
        </w:tc>
        <w:tc>
          <w:tcPr>
            <w:tcW w:type="dxa" w:w="3402"/>
          </w:tcPr>
          <w:p>
            <w:r>
              <w:rPr>
                <w:sz w:val="18"/>
              </w:rPr>
              <w:t>Modelo General de la Agresión (Anderson &amp; Bushman, 2002)</w:t>
            </w:r>
          </w:p>
        </w:tc>
      </w:tr>
      <w:tr>
        <w:tc>
          <w:tcPr>
            <w:tcW w:type="dxa" w:w="454"/>
          </w:tcPr>
          <w:p>
            <w:r>
              <w:rPr>
                <w:sz w:val="18"/>
              </w:rPr>
              <w:t>16</w:t>
            </w:r>
          </w:p>
        </w:tc>
        <w:tc>
          <w:tcPr>
            <w:tcW w:type="dxa" w:w="2721"/>
          </w:tcPr>
          <w:p>
            <w:r>
              <w:rPr>
                <w:sz w:val="18"/>
              </w:rPr>
              <w:t>Control de la Conducta de Riesgo Recreativo</w:t>
            </w:r>
          </w:p>
        </w:tc>
        <w:tc>
          <w:tcPr>
            <w:tcW w:type="dxa" w:w="1701"/>
          </w:tcPr>
          <w:p>
            <w:r>
              <w:rPr>
                <w:sz w:val="18"/>
              </w:rPr>
              <w:t>Factores Contextuales</w:t>
            </w:r>
          </w:p>
        </w:tc>
        <w:tc>
          <w:tcPr>
            <w:tcW w:type="dxa" w:w="1247"/>
          </w:tcPr>
          <w:p>
            <w:r>
              <w:rPr>
                <w:sz w:val="18"/>
              </w:rPr>
              <w:t>Renombrada</w:t>
            </w:r>
          </w:p>
        </w:tc>
        <w:tc>
          <w:tcPr>
            <w:tcW w:type="dxa" w:w="3402"/>
          </w:tcPr>
          <w:p>
            <w:r>
              <w:rPr>
                <w:sz w:val="18"/>
              </w:rPr>
              <w:t>Modelo de Adicciones Conductuales (Griffiths, 2005)</w:t>
            </w:r>
          </w:p>
        </w:tc>
      </w:tr>
      <w:tr>
        <w:tc>
          <w:tcPr>
            <w:tcW w:type="dxa" w:w="454"/>
          </w:tcPr>
          <w:p>
            <w:r>
              <w:rPr>
                <w:sz w:val="18"/>
              </w:rPr>
              <w:t>17</w:t>
            </w:r>
          </w:p>
        </w:tc>
        <w:tc>
          <w:tcPr>
            <w:tcW w:type="dxa" w:w="2721"/>
          </w:tcPr>
          <w:p>
            <w:r>
              <w:rPr>
                <w:sz w:val="18"/>
              </w:rPr>
              <w:t>Orientación Prosocial</w:t>
            </w:r>
          </w:p>
        </w:tc>
        <w:tc>
          <w:tcPr>
            <w:tcW w:type="dxa" w:w="1701"/>
          </w:tcPr>
          <w:p>
            <w:r>
              <w:rPr>
                <w:sz w:val="18"/>
              </w:rPr>
              <w:t>Factores Contextuales</w:t>
            </w:r>
          </w:p>
        </w:tc>
        <w:tc>
          <w:tcPr>
            <w:tcW w:type="dxa" w:w="1247"/>
          </w:tcPr>
          <w:p>
            <w:r>
              <w:rPr>
                <w:sz w:val="18"/>
              </w:rPr>
              <w:t>Renombrada</w:t>
            </w:r>
          </w:p>
        </w:tc>
        <w:tc>
          <w:tcPr>
            <w:tcW w:type="dxa" w:w="3402"/>
          </w:tcPr>
          <w:p>
            <w:r>
              <w:rPr>
                <w:sz w:val="18"/>
              </w:rPr>
              <w:t>Teoría de la Empatía-Altruismo (Batson, 1991)</w:t>
            </w:r>
          </w:p>
        </w:tc>
      </w:tr>
      <w:tr>
        <w:tc>
          <w:tcPr>
            <w:tcW w:type="dxa" w:w="454"/>
          </w:tcPr>
          <w:p>
            <w:r>
              <w:rPr>
                <w:sz w:val="18"/>
              </w:rPr>
              <w:t>18</w:t>
            </w:r>
          </w:p>
        </w:tc>
        <w:tc>
          <w:tcPr>
            <w:tcW w:type="dxa" w:w="2721"/>
          </w:tcPr>
          <w:p>
            <w:r>
              <w:rPr>
                <w:sz w:val="18"/>
              </w:rPr>
              <w:t>Conflicto de Interés</w:t>
            </w:r>
          </w:p>
        </w:tc>
        <w:tc>
          <w:tcPr>
            <w:tcW w:type="dxa" w:w="1701"/>
          </w:tcPr>
          <w:p>
            <w:r>
              <w:rPr>
                <w:sz w:val="18"/>
              </w:rPr>
              <w:t>Integridad Nuclear</w:t>
            </w:r>
          </w:p>
        </w:tc>
        <w:tc>
          <w:tcPr>
            <w:tcW w:type="dxa" w:w="1247"/>
          </w:tcPr>
          <w:p>
            <w:r>
              <w:rPr>
                <w:sz w:val="18"/>
              </w:rPr>
              <w:t>Nueva</w:t>
            </w:r>
          </w:p>
        </w:tc>
        <w:tc>
          <w:tcPr>
            <w:tcW w:type="dxa" w:w="3402"/>
          </w:tcPr>
          <w:p>
            <w:r>
              <w:rPr>
                <w:sz w:val="18"/>
              </w:rPr>
              <w:t>Teoría de la Agencia (Jensen &amp; Meckling, 1976)</w:t>
            </w:r>
          </w:p>
        </w:tc>
      </w:tr>
      <w:tr>
        <w:tc>
          <w:tcPr>
            <w:tcW w:type="dxa" w:w="454"/>
          </w:tcPr>
          <w:p>
            <w:r>
              <w:rPr>
                <w:sz w:val="18"/>
              </w:rPr>
              <w:t>19</w:t>
            </w:r>
          </w:p>
        </w:tc>
        <w:tc>
          <w:tcPr>
            <w:tcW w:type="dxa" w:w="2721"/>
          </w:tcPr>
          <w:p>
            <w:r>
              <w:rPr>
                <w:sz w:val="18"/>
              </w:rPr>
              <w:t>Uso Indebido de Recursos No Físicos</w:t>
            </w:r>
          </w:p>
        </w:tc>
        <w:tc>
          <w:tcPr>
            <w:tcW w:type="dxa" w:w="1701"/>
          </w:tcPr>
          <w:p>
            <w:r>
              <w:rPr>
                <w:sz w:val="18"/>
              </w:rPr>
              <w:t>Integridad Nuclear</w:t>
            </w:r>
          </w:p>
        </w:tc>
        <w:tc>
          <w:tcPr>
            <w:tcW w:type="dxa" w:w="1247"/>
          </w:tcPr>
          <w:p>
            <w:r>
              <w:rPr>
                <w:sz w:val="18"/>
              </w:rPr>
              <w:t>Nueva</w:t>
            </w:r>
          </w:p>
        </w:tc>
        <w:tc>
          <w:tcPr>
            <w:tcW w:type="dxa" w:w="3402"/>
          </w:tcPr>
          <w:p>
            <w:r>
              <w:rPr>
                <w:sz w:val="18"/>
              </w:rPr>
              <w:t>Teoría del Contrato Psicológico (Rousseau, 1989)</w:t>
            </w:r>
          </w:p>
        </w:tc>
      </w:tr>
      <w:tr>
        <w:tc>
          <w:tcPr>
            <w:tcW w:type="dxa" w:w="454"/>
          </w:tcPr>
          <w:p>
            <w:r>
              <w:rPr>
                <w:sz w:val="18"/>
              </w:rPr>
              <w:t>20</w:t>
            </w:r>
          </w:p>
        </w:tc>
        <w:tc>
          <w:tcPr>
            <w:tcW w:type="dxa" w:w="2721"/>
          </w:tcPr>
          <w:p>
            <w:r>
              <w:rPr>
                <w:sz w:val="18"/>
              </w:rPr>
              <w:t>Percepción de Impunidad</w:t>
            </w:r>
          </w:p>
        </w:tc>
        <w:tc>
          <w:tcPr>
            <w:tcW w:type="dxa" w:w="1701"/>
          </w:tcPr>
          <w:p>
            <w:r>
              <w:rPr>
                <w:sz w:val="18"/>
              </w:rPr>
              <w:t>Factores Contextuales</w:t>
            </w:r>
          </w:p>
        </w:tc>
        <w:tc>
          <w:tcPr>
            <w:tcW w:type="dxa" w:w="1247"/>
          </w:tcPr>
          <w:p>
            <w:r>
              <w:rPr>
                <w:sz w:val="18"/>
              </w:rPr>
              <w:t>Nueva</w:t>
            </w:r>
          </w:p>
        </w:tc>
        <w:tc>
          <w:tcPr>
            <w:tcW w:type="dxa" w:w="3402"/>
          </w:tcPr>
          <w:p>
            <w:r>
              <w:rPr>
                <w:sz w:val="18"/>
              </w:rPr>
              <w:t>Teoría de la Disuasión (Becker, 1968; Paternoster, 2010)</w:t>
            </w:r>
          </w:p>
        </w:tc>
      </w:tr>
    </w:tbl>
    <w:p>
      <w:r>
        <w:br w:type="page"/>
      </w:r>
    </w:p>
    <w:p>
      <w:pPr>
        <w:pStyle w:val="Heading1"/>
      </w:pPr>
      <w:r>
        <w:t>3. Fichas de dimensión</w:t>
      </w:r>
    </w:p>
    <w:p>
      <w:pPr>
        <w:pStyle w:val="Heading2"/>
      </w:pPr>
      <w:r>
        <w:t>1. Respeto a la Propiedad Ajena</w:t>
      </w:r>
    </w:p>
    <w:p>
      <w:pPr>
        <w:spacing w:after="40"/>
      </w:pPr>
      <w:r>
        <w:rPr>
          <w:b/>
        </w:rPr>
        <w:t xml:space="preserve">Familia: </w:t>
      </w:r>
      <w:r>
        <w:t>Integridad Nuclear</w:t>
      </w:r>
    </w:p>
    <w:p>
      <w:pPr>
        <w:spacing w:after="40"/>
      </w:pPr>
      <w:r>
        <w:rPr>
          <w:b/>
        </w:rPr>
        <w:t xml:space="preserve">Origen: </w:t>
      </w:r>
      <w:r>
        <w:t>Renombrada (equivalente conceptual a la dimensión de sustracción de bienes/información identificada en el análisis previo)</w:t>
      </w:r>
    </w:p>
    <w:p>
      <w:pPr>
        <w:spacing w:after="40"/>
      </w:pPr>
      <w:r>
        <w:rPr>
          <w:b/>
        </w:rPr>
        <w:t xml:space="preserve">Fundamento teórico: </w:t>
      </w:r>
      <w:r>
        <w:t>Teoría General del Autocontrol (Gottfredson &amp; Hirschi, 1990): postula que la conducta deshonesta de bajo autocontrol comparte una causa común -la tendencia a preferir una ganancia inmediata y de bajo esfuerzo aunque implique riesgo o daño a terceros- más allá del tipo específico de bien sustraído.</w:t>
      </w:r>
    </w:p>
    <w:p>
      <w:pPr>
        <w:spacing w:after="80"/>
      </w:pPr>
      <w:r>
        <w:rPr>
          <w:b/>
        </w:rPr>
        <w:t xml:space="preserve">Definición operacional: </w:t>
      </w:r>
      <w:r>
        <w:t>Grado en que una persona considera aceptable, o reporta haber incurrido en, la apropiación no autorizada de bienes materiales, dinero o información de valor que pertenecen a la organización, a compañeros de trabajo o a terceros, incluyendo tanto la sustracción directa como el uso de mecanismos indirectos (descuentos indebidos, alteración de inventarios, uso de la posición laboral para obtener bienes sin derecho).</w:t>
      </w:r>
    </w:p>
    <w:p>
      <w:pPr>
        <w:spacing w:after="40"/>
      </w:pPr>
      <w:r>
        <w:rPr>
          <w:b/>
        </w:rPr>
        <w:t>Indicadores conductuales (subdimensiones):</w:t>
      </w:r>
    </w:p>
    <w:p>
      <w:pPr>
        <w:pStyle w:val="ListBullet"/>
      </w:pPr>
      <w:r>
        <w:t>Justificación cognitiva de la sustracción de bienes de bajo valor percibido ('total, no se nota').</w:t>
      </w:r>
    </w:p>
    <w:p>
      <w:pPr>
        <w:pStyle w:val="ListBullet"/>
      </w:pPr>
      <w:r>
        <w:t>Reporte de involucramiento pasado en apropiación de bienes o dinero ajeno, propio o de terceros observado.</w:t>
      </w:r>
    </w:p>
    <w:p>
      <w:pPr>
        <w:pStyle w:val="ListBullet"/>
      </w:pPr>
      <w:r>
        <w:t>Percepción de la frecuencia con que otros compañeros sustraen bienes en su entorno laboral.</w:t>
      </w:r>
    </w:p>
    <w:p>
      <w:pPr>
        <w:pStyle w:val="ListBullet"/>
      </w:pPr>
      <w:r>
        <w:t>Disposición a devolver o reportar un bien ajeno encontrado por error o descuido de un tercero.</w:t>
      </w:r>
    </w:p>
    <w:p/>
    <w:p>
      <w:pPr>
        <w:pStyle w:val="Heading2"/>
      </w:pPr>
      <w:r>
        <w:t>2. Integridad Transaccional</w:t>
      </w:r>
    </w:p>
    <w:p>
      <w:pPr>
        <w:spacing w:after="40"/>
      </w:pPr>
      <w:r>
        <w:rPr>
          <w:b/>
        </w:rPr>
        <w:t xml:space="preserve">Familia: </w:t>
      </w:r>
      <w:r>
        <w:t>Integridad Nuclear</w:t>
      </w:r>
    </w:p>
    <w:p>
      <w:pPr>
        <w:spacing w:after="40"/>
      </w:pPr>
      <w:r>
        <w:rPr>
          <w:b/>
        </w:rPr>
        <w:t xml:space="preserve">Origen: </w:t>
      </w:r>
      <w:r>
        <w:t>Renombrada (equivalente conceptual a la dimensión de intercambio de favores indebidos identificada en el análisis previo)</w:t>
      </w:r>
    </w:p>
    <w:p>
      <w:pPr>
        <w:spacing w:after="40"/>
      </w:pPr>
      <w:r>
        <w:rPr>
          <w:b/>
        </w:rPr>
        <w:t xml:space="preserve">Fundamento teórico: </w:t>
      </w:r>
      <w:r>
        <w:t>Teoría Económica del Crimen (Becker, 1968): modela la decisión de involucrarse en una transacción ilícita como un cálculo racional de beneficio esperado frente a probabilidad y costo de ser descubierto, aplicable al ofrecimiento o solicitud de pagos o favores indebidos.</w:t>
      </w:r>
    </w:p>
    <w:p>
      <w:pPr>
        <w:spacing w:after="80"/>
      </w:pPr>
      <w:r>
        <w:rPr>
          <w:b/>
        </w:rPr>
        <w:t xml:space="preserve">Definición operacional: </w:t>
      </w:r>
      <w:r>
        <w:t>Grado en que una persona considera aceptable, o reporta haber incurrido en, ofrecer, solicitar o aceptar dinero, regalos, favores o tratos preferenciales a cambio de una decisión o beneficio que vulnera una norma, política interna o regla de competencia leal.</w:t>
      </w:r>
    </w:p>
    <w:p>
      <w:pPr>
        <w:spacing w:after="40"/>
      </w:pPr>
      <w:r>
        <w:rPr>
          <w:b/>
        </w:rPr>
        <w:t>Indicadores conductuales (subdimensiones):</w:t>
      </w:r>
    </w:p>
    <w:p>
      <w:pPr>
        <w:pStyle w:val="ListBullet"/>
      </w:pPr>
      <w:r>
        <w:t>Aceptación de pequeños regalos o atenciones de proveedores/clientes a cambio de trato preferencial.</w:t>
      </w:r>
    </w:p>
    <w:p>
      <w:pPr>
        <w:pStyle w:val="ListBullet"/>
      </w:pPr>
      <w:r>
        <w:t>Racionalización del soborno como 'práctica normal del mercado' o 'así funcionan los negocios aquí'.</w:t>
      </w:r>
    </w:p>
    <w:p>
      <w:pPr>
        <w:pStyle w:val="ListBullet"/>
      </w:pPr>
      <w:r>
        <w:t>Disposición a facilitar un trámite irregular a cambio de una compensación no declarada.</w:t>
      </w:r>
    </w:p>
    <w:p>
      <w:pPr>
        <w:pStyle w:val="ListBullet"/>
      </w:pPr>
      <w:r>
        <w:t>Percepción de qué tan común es el intercambio de favores indebidos en su sector o industria.</w:t>
      </w:r>
    </w:p>
    <w:p/>
    <w:p>
      <w:pPr>
        <w:pStyle w:val="Heading2"/>
      </w:pPr>
      <w:r>
        <w:t>3. Coherencia Declarativa</w:t>
      </w:r>
    </w:p>
    <w:p>
      <w:pPr>
        <w:spacing w:after="40"/>
      </w:pPr>
      <w:r>
        <w:rPr>
          <w:b/>
        </w:rPr>
        <w:t xml:space="preserve">Familia: </w:t>
      </w:r>
      <w:r>
        <w:t>Integridad Nuclear</w:t>
      </w:r>
    </w:p>
    <w:p>
      <w:pPr>
        <w:spacing w:after="40"/>
      </w:pPr>
      <w:r>
        <w:rPr>
          <w:b/>
        </w:rPr>
        <w:t xml:space="preserve">Origen: </w:t>
      </w:r>
      <w:r>
        <w:t>Renombrada (equivalente conceptual a la dimensión de congruencia entre discurso y conducta identificada en el análisis previo)</w:t>
      </w:r>
    </w:p>
    <w:p>
      <w:pPr>
        <w:spacing w:after="40"/>
      </w:pPr>
      <w:r>
        <w:rPr>
          <w:b/>
        </w:rPr>
        <w:t xml:space="preserve">Fundamento teórico: </w:t>
      </w:r>
      <w:r>
        <w:t>Teoría de la Identidad Moral (Aquino &amp; Reed, 2002): sostiene que la centralidad de la identidad moral en el autoconcepto predice la consistencia entre lo que una persona declara valorar y lo que efectivamente hace, siendo la incoherencia sostenida un indicador de baja internalización moral.</w:t>
      </w:r>
    </w:p>
    <w:p>
      <w:pPr>
        <w:spacing w:after="80"/>
      </w:pPr>
      <w:r>
        <w:rPr>
          <w:b/>
        </w:rPr>
        <w:t xml:space="preserve">Definición operacional: </w:t>
      </w:r>
      <w:r>
        <w:t>Grado en que las afirmaciones que una persona hace sobre sí misma, sus intenciones o hechos pasados son consistentes entre sí y con la evidencia disponible, y su disposición a no omitir ni distorsionar información relevante cuando le resulta desfavorable.</w:t>
      </w:r>
    </w:p>
    <w:p>
      <w:pPr>
        <w:spacing w:after="40"/>
      </w:pPr>
      <w:r>
        <w:rPr>
          <w:b/>
        </w:rPr>
        <w:t>Indicadores conductuales (subdimensiones):</w:t>
      </w:r>
    </w:p>
    <w:p>
      <w:pPr>
        <w:pStyle w:val="ListBullet"/>
      </w:pPr>
      <w:r>
        <w:t>Consistencia entre declaraciones propias en distintos momentos de una misma conversación o evaluación.</w:t>
      </w:r>
    </w:p>
    <w:p>
      <w:pPr>
        <w:pStyle w:val="ListBullet"/>
      </w:pPr>
      <w:r>
        <w:t>Disposición a admitir un error propio en vez de atribuirlo a terceros o al azar.</w:t>
      </w:r>
    </w:p>
    <w:p>
      <w:pPr>
        <w:pStyle w:val="ListBullet"/>
      </w:pPr>
      <w:r>
        <w:t>Tendencia a omitir información relevante que podría afectar negativamente cómo se le percibe.</w:t>
      </w:r>
    </w:p>
    <w:p>
      <w:pPr>
        <w:pStyle w:val="ListBullet"/>
      </w:pPr>
      <w:r>
        <w:t>Reacción ante la confrontación de una inconsistencia detectada en su propio relato.</w:t>
      </w:r>
    </w:p>
    <w:p/>
    <w:p>
      <w:pPr>
        <w:pStyle w:val="Heading2"/>
      </w:pPr>
      <w:r>
        <w:t>4. Compromiso Ético Organizacional</w:t>
      </w:r>
    </w:p>
    <w:p>
      <w:pPr>
        <w:spacing w:after="40"/>
      </w:pPr>
      <w:r>
        <w:rPr>
          <w:b/>
        </w:rPr>
        <w:t xml:space="preserve">Familia: </w:t>
      </w:r>
      <w:r>
        <w:t>Integridad Nuclear</w:t>
      </w:r>
    </w:p>
    <w:p>
      <w:pPr>
        <w:spacing w:after="40"/>
      </w:pPr>
      <w:r>
        <w:rPr>
          <w:b/>
        </w:rPr>
        <w:t xml:space="preserve">Origen: </w:t>
      </w:r>
      <w:r>
        <w:t>Renombrada (equivalente conceptual a la dimensión de lealtad institucional identificada en el análisis previo)</w:t>
      </w:r>
    </w:p>
    <w:p>
      <w:pPr>
        <w:spacing w:after="40"/>
      </w:pPr>
      <w:r>
        <w:rPr>
          <w:b/>
        </w:rPr>
        <w:t xml:space="preserve">Fundamento teórico: </w:t>
      </w:r>
      <w:r>
        <w:t>Teoría del Intercambio Social (Blau, 1964): explica el compromiso hacia una organización como resultado de una relación percibida de reciprocidad; cuando la persona percibe trato justo, es menos probable que actúe en contra de los intereses de la organización.</w:t>
      </w:r>
    </w:p>
    <w:p>
      <w:pPr>
        <w:spacing w:after="80"/>
      </w:pPr>
      <w:r>
        <w:rPr>
          <w:b/>
        </w:rPr>
        <w:t xml:space="preserve">Definición operacional: </w:t>
      </w:r>
      <w:r>
        <w:t>Grado en que una persona antepone el bienestar y los intereses legítimos de la organización a un beneficio personal de corto plazo cuando ambos entran en conflicto, y su disposición a no dañar activamente a la organización aun en desacuerdo con decisiones específicas de esta.</w:t>
      </w:r>
    </w:p>
    <w:p>
      <w:pPr>
        <w:spacing w:after="40"/>
      </w:pPr>
      <w:r>
        <w:rPr>
          <w:b/>
        </w:rPr>
        <w:t>Indicadores conductuales (subdimensiones):</w:t>
      </w:r>
    </w:p>
    <w:p>
      <w:pPr>
        <w:pStyle w:val="ListBullet"/>
      </w:pPr>
      <w:r>
        <w:t>Disposición a hablar negativamente de la organización ante terceros externos tras un desacuerdo interno.</w:t>
      </w:r>
    </w:p>
    <w:p>
      <w:pPr>
        <w:pStyle w:val="ListBullet"/>
      </w:pPr>
      <w:r>
        <w:t>Justificación de una conducta dañina hacia la organización como 'venganza' por un trato percibido como injusto.</w:t>
      </w:r>
    </w:p>
    <w:p>
      <w:pPr>
        <w:pStyle w:val="ListBullet"/>
      </w:pPr>
      <w:r>
        <w:t>Reporte de intención de permanencia o abandono condicionado por oportunidades de dañar a la organización.</w:t>
      </w:r>
    </w:p>
    <w:p>
      <w:pPr>
        <w:pStyle w:val="ListBullet"/>
      </w:pPr>
      <w:r>
        <w:t>Disposición a defender los intereses legítimos de la organización ante un tercero externo.</w:t>
      </w:r>
    </w:p>
    <w:p/>
    <w:p>
      <w:pPr>
        <w:pStyle w:val="Heading2"/>
      </w:pPr>
      <w:r>
        <w:t>5. Respeto a la Autonomía Sexual Laboral</w:t>
      </w:r>
    </w:p>
    <w:p>
      <w:pPr>
        <w:spacing w:after="40"/>
      </w:pPr>
      <w:r>
        <w:rPr>
          <w:b/>
        </w:rPr>
        <w:t xml:space="preserve">Familia: </w:t>
      </w:r>
      <w:r>
        <w:t>Integridad Nuclear</w:t>
      </w:r>
    </w:p>
    <w:p>
      <w:pPr>
        <w:spacing w:after="40"/>
      </w:pPr>
      <w:r>
        <w:rPr>
          <w:b/>
        </w:rPr>
        <w:t xml:space="preserve">Origen: </w:t>
      </w:r>
      <w:r>
        <w:t>Renombrada (equivalente conceptual a la dimensión de acoso sexual identificada en el análisis previo)</w:t>
      </w:r>
    </w:p>
    <w:p>
      <w:pPr>
        <w:spacing w:after="40"/>
      </w:pPr>
      <w:r>
        <w:rPr>
          <w:b/>
        </w:rPr>
        <w:t xml:space="preserve">Fundamento teórico: </w:t>
      </w:r>
      <w:r>
        <w:t>Teoría de la Justicia Organizacional (Colquitt, 2001), en su componente de justicia interaccional: examina el respeto y la dignidad en el trato interpersonal como condición de legitimidad de las relaciones de poder dentro de una organización, marco aplicable al análisis de conductas de naturaleza sexual no consentidas.</w:t>
      </w:r>
    </w:p>
    <w:p>
      <w:pPr>
        <w:spacing w:after="80"/>
      </w:pPr>
      <w:r>
        <w:rPr>
          <w:b/>
        </w:rPr>
        <w:t xml:space="preserve">Definición operacional: </w:t>
      </w:r>
      <w:r>
        <w:t>Grado en que una persona reconoce los límites de consentimiento y autonomía sexual de otras personas en el entorno laboral, y evita conductas, comentarios o insinuaciones de naturaleza sexual no deseadas, especialmente cuando media una relación de poder o dependencia jerárquica.</w:t>
      </w:r>
    </w:p>
    <w:p>
      <w:pPr>
        <w:spacing w:after="40"/>
      </w:pPr>
      <w:r>
        <w:rPr>
          <w:b/>
        </w:rPr>
        <w:t>Indicadores conductuales (subdimensiones):</w:t>
      </w:r>
    </w:p>
    <w:p>
      <w:pPr>
        <w:pStyle w:val="ListBullet"/>
      </w:pPr>
      <w:r>
        <w:t>Minimización de la gravedad de comentarios o insinuaciones sexuales no solicitadas en el trabajo.</w:t>
      </w:r>
    </w:p>
    <w:p>
      <w:pPr>
        <w:pStyle w:val="ListBullet"/>
      </w:pPr>
      <w:r>
        <w:t>Percepción de qué tan aceptable es usar una posición de autoridad para buscar cercanía romántica o sexual.</w:t>
      </w:r>
    </w:p>
    <w:p>
      <w:pPr>
        <w:pStyle w:val="ListBullet"/>
      </w:pPr>
      <w:r>
        <w:t>Reconocimiento de que la ausencia de rechazo explícito no equivale a consentimiento.</w:t>
      </w:r>
    </w:p>
    <w:p>
      <w:pPr>
        <w:pStyle w:val="ListBullet"/>
      </w:pPr>
      <w:r>
        <w:t>Disposición a intervenir o reportar una conducta de este tipo observada en terceros.</w:t>
      </w:r>
    </w:p>
    <w:p/>
    <w:p>
      <w:pPr>
        <w:pStyle w:val="Heading2"/>
      </w:pPr>
      <w:r>
        <w:t>6. Uso Ético del Poder Interpersonal</w:t>
      </w:r>
    </w:p>
    <w:p>
      <w:pPr>
        <w:spacing w:after="40"/>
      </w:pPr>
      <w:r>
        <w:rPr>
          <w:b/>
        </w:rPr>
        <w:t xml:space="preserve">Familia: </w:t>
      </w:r>
      <w:r>
        <w:t>Integridad Nuclear</w:t>
      </w:r>
    </w:p>
    <w:p>
      <w:pPr>
        <w:spacing w:after="40"/>
      </w:pPr>
      <w:r>
        <w:rPr>
          <w:b/>
        </w:rPr>
        <w:t xml:space="preserve">Origen: </w:t>
      </w:r>
      <w:r>
        <w:t>Renombrada (equivalente conceptual a la dimensión de abuso de autoridad/hostigamiento identificada en el análisis previo)</w:t>
      </w:r>
    </w:p>
    <w:p>
      <w:pPr>
        <w:spacing w:after="40"/>
      </w:pPr>
      <w:r>
        <w:rPr>
          <w:b/>
        </w:rPr>
        <w:t xml:space="preserve">Fundamento teórico: </w:t>
      </w:r>
      <w:r>
        <w:t>Teoría de la Desconexión Moral (Bandura, 1999): describe los mecanismos cognitivos (justificación, difuminación de responsabilidad, deshumanización) que permiten a una persona ejercer poder de forma dañina hacia otros sin experimentar autocensura moral.</w:t>
      </w:r>
    </w:p>
    <w:p>
      <w:pPr>
        <w:spacing w:after="80"/>
      </w:pPr>
      <w:r>
        <w:rPr>
          <w:b/>
        </w:rPr>
        <w:t xml:space="preserve">Definición operacional: </w:t>
      </w:r>
      <w:r>
        <w:t>Grado en que una persona utiliza su posición de autoridad formal o informal, o su influencia dentro de un grupo, para intimidar, humillar, aislar o presionar de forma sostenida a otra persona, más allá del ejercicio legítimo de supervisión o retroalimentación.</w:t>
      </w:r>
    </w:p>
    <w:p>
      <w:pPr>
        <w:spacing w:after="40"/>
      </w:pPr>
      <w:r>
        <w:rPr>
          <w:b/>
        </w:rPr>
        <w:t>Indicadores conductuales (subdimensiones):</w:t>
      </w:r>
    </w:p>
    <w:p>
      <w:pPr>
        <w:pStyle w:val="ListBullet"/>
      </w:pPr>
      <w:r>
        <w:t>Justificación de la humillación pública de un subordinado como 'método de disciplina válido'.</w:t>
      </w:r>
    </w:p>
    <w:p>
      <w:pPr>
        <w:pStyle w:val="ListBullet"/>
      </w:pPr>
      <w:r>
        <w:t>Reporte de haber ejercido presión sostenida sobre un compañero o subordinado más allá de lo laboralmente necesario.</w:t>
      </w:r>
    </w:p>
    <w:p>
      <w:pPr>
        <w:pStyle w:val="ListBullet"/>
      </w:pPr>
      <w:r>
        <w:t>Percepción de qué tan común es el abuso de autoridad como forma de gestión en su entorno.</w:t>
      </w:r>
    </w:p>
    <w:p>
      <w:pPr>
        <w:pStyle w:val="ListBullet"/>
      </w:pPr>
      <w:r>
        <w:t>Disposición a usar información privada de un subordinado para presionarlo o intimidarlo.</w:t>
      </w:r>
    </w:p>
    <w:p/>
    <w:p>
      <w:pPr>
        <w:pStyle w:val="Heading2"/>
      </w:pPr>
      <w:r>
        <w:t>7. Equidad de Trato Interpersonal</w:t>
      </w:r>
    </w:p>
    <w:p>
      <w:pPr>
        <w:spacing w:after="40"/>
      </w:pPr>
      <w:r>
        <w:rPr>
          <w:b/>
        </w:rPr>
        <w:t xml:space="preserve">Familia: </w:t>
      </w:r>
      <w:r>
        <w:t>Integridad Nuclear</w:t>
      </w:r>
    </w:p>
    <w:p>
      <w:pPr>
        <w:spacing w:after="40"/>
      </w:pPr>
      <w:r>
        <w:rPr>
          <w:b/>
        </w:rPr>
        <w:t xml:space="preserve">Origen: </w:t>
      </w:r>
      <w:r>
        <w:t>Renombrada (equivalente conceptual a la dimensión de discriminación laboral identificada en el análisis previo)</w:t>
      </w:r>
    </w:p>
    <w:p>
      <w:pPr>
        <w:spacing w:after="40"/>
      </w:pPr>
      <w:r>
        <w:rPr>
          <w:b/>
        </w:rPr>
        <w:t xml:space="preserve">Fundamento teórico: </w:t>
      </w:r>
      <w:r>
        <w:t>Teoría del Contacto Intergrupal y el estudio del prejuicio (Allport, 1954): explica cómo los estereotipos y el prejuicio hacia un exogrupo se traducen en trato diferenciado no justificado, marco base para operacionalizar la equidad de trato en un contexto laboral.</w:t>
      </w:r>
    </w:p>
    <w:p>
      <w:pPr>
        <w:spacing w:after="80"/>
      </w:pPr>
      <w:r>
        <w:rPr>
          <w:b/>
        </w:rPr>
        <w:t xml:space="preserve">Definición operacional: </w:t>
      </w:r>
      <w:r>
        <w:t>Grado en que una persona ofrece o reporta un trato diferenciado no justificado hacia otras personas por características como origen, género, edad, apariencia, orientación, religión o condición socioeconómica, en decisiones o interacciones laborales.</w:t>
      </w:r>
    </w:p>
    <w:p>
      <w:pPr>
        <w:spacing w:after="40"/>
      </w:pPr>
      <w:r>
        <w:rPr>
          <w:b/>
        </w:rPr>
        <w:t>Indicadores conductuales (subdimensiones):</w:t>
      </w:r>
    </w:p>
    <w:p>
      <w:pPr>
        <w:pStyle w:val="ListBullet"/>
      </w:pPr>
      <w:r>
        <w:t>Justificación de decisiones de contratación o promoción basadas en características no relacionadas con el desempeño.</w:t>
      </w:r>
    </w:p>
    <w:p>
      <w:pPr>
        <w:pStyle w:val="ListBullet"/>
      </w:pPr>
      <w:r>
        <w:t>Uso de estereotipos al describir la capacidad laboral de un grupo específico de personas.</w:t>
      </w:r>
    </w:p>
    <w:p>
      <w:pPr>
        <w:pStyle w:val="ListBullet"/>
      </w:pPr>
      <w:r>
        <w:t>Percepción de qué tan justificado está excluir a alguien de una oportunidad por rasgos personales no laborales.</w:t>
      </w:r>
    </w:p>
    <w:p>
      <w:pPr>
        <w:pStyle w:val="ListBullet"/>
      </w:pPr>
      <w:r>
        <w:t>Reporte de haber presenciado o participado en un trato desigual injustificado en el trabajo.</w:t>
      </w:r>
    </w:p>
    <w:p/>
    <w:p>
      <w:pPr>
        <w:pStyle w:val="Heading2"/>
      </w:pPr>
      <w:r>
        <w:t>8. Responsabilización por Resultados</w:t>
      </w:r>
    </w:p>
    <w:p>
      <w:pPr>
        <w:spacing w:after="40"/>
      </w:pPr>
      <w:r>
        <w:rPr>
          <w:b/>
        </w:rPr>
        <w:t xml:space="preserve">Familia: </w:t>
      </w:r>
      <w:r>
        <w:t>Integridad Nuclear</w:t>
      </w:r>
    </w:p>
    <w:p>
      <w:pPr>
        <w:spacing w:after="40"/>
      </w:pPr>
      <w:r>
        <w:rPr>
          <w:b/>
        </w:rPr>
        <w:t xml:space="preserve">Origen: </w:t>
      </w:r>
      <w:r>
        <w:t>Renombrada (equivalente conceptual a la dimensión de rendición de cuentas identificada en el análisis previo)</w:t>
      </w:r>
    </w:p>
    <w:p>
      <w:pPr>
        <w:spacing w:after="40"/>
      </w:pPr>
      <w:r>
        <w:rPr>
          <w:b/>
        </w:rPr>
        <w:t xml:space="preserve">Fundamento teórico: </w:t>
      </w:r>
      <w:r>
        <w:t>Teoría de la Atribución Causal (Weiner, 1985): estudia cómo las personas explican causalmente sus éxitos y fracasos (a factores internos vs. externos), siendo la atribución externa sistemática ante fracasos propios un patrón asociado a menor responsabilización.</w:t>
      </w:r>
    </w:p>
    <w:p>
      <w:pPr>
        <w:spacing w:after="80"/>
      </w:pPr>
      <w:r>
        <w:rPr>
          <w:b/>
        </w:rPr>
        <w:t xml:space="preserve">Definición operacional: </w:t>
      </w:r>
      <w:r>
        <w:t>Grado en que una persona asume la autoría y las consecuencias de sus propias decisiones y errores, en contraste con atribuir sistemáticamente los resultados negativos propios a terceros, al azar o a circunstancias externas.</w:t>
      </w:r>
    </w:p>
    <w:p>
      <w:pPr>
        <w:spacing w:after="40"/>
      </w:pPr>
      <w:r>
        <w:rPr>
          <w:b/>
        </w:rPr>
        <w:t>Indicadores conductuales (subdimensiones):</w:t>
      </w:r>
    </w:p>
    <w:p>
      <w:pPr>
        <w:pStyle w:val="ListBullet"/>
      </w:pPr>
      <w:r>
        <w:t>Tendencia a explicar un error propio reciente citando exclusivamente causas externas.</w:t>
      </w:r>
    </w:p>
    <w:p>
      <w:pPr>
        <w:pStyle w:val="ListBullet"/>
      </w:pPr>
      <w:r>
        <w:t>Disposición a comunicar proactivamente un error propio antes de que sea detectado por otros.</w:t>
      </w:r>
    </w:p>
    <w:p>
      <w:pPr>
        <w:pStyle w:val="ListBullet"/>
      </w:pPr>
      <w:r>
        <w:t>Reporte de haber evadido una responsabilidad delegándola injustificadamente a un compañero.</w:t>
      </w:r>
    </w:p>
    <w:p>
      <w:pPr>
        <w:pStyle w:val="ListBullet"/>
      </w:pPr>
      <w:r>
        <w:t>Percepción propia sobre qué tan frecuente es 'cubrirse' ante un error en su entorno laboral.</w:t>
      </w:r>
    </w:p>
    <w:p/>
    <w:p>
      <w:pPr>
        <w:pStyle w:val="Heading2"/>
      </w:pPr>
      <w:r>
        <w:t>9. Integridad Documental e Informativa</w:t>
      </w:r>
    </w:p>
    <w:p>
      <w:pPr>
        <w:spacing w:after="40"/>
      </w:pPr>
      <w:r>
        <w:rPr>
          <w:b/>
        </w:rPr>
        <w:t xml:space="preserve">Familia: </w:t>
      </w:r>
      <w:r>
        <w:t>Integridad Nuclear</w:t>
      </w:r>
    </w:p>
    <w:p>
      <w:pPr>
        <w:spacing w:after="40"/>
      </w:pPr>
      <w:r>
        <w:rPr>
          <w:b/>
        </w:rPr>
        <w:t xml:space="preserve">Origen: </w:t>
      </w:r>
      <w:r>
        <w:t>Renombrada (equivalente conceptual a la dimensión de fraude documental identificada en el análisis previo)</w:t>
      </w:r>
    </w:p>
    <w:p>
      <w:pPr>
        <w:spacing w:after="40"/>
      </w:pPr>
      <w:r>
        <w:rPr>
          <w:b/>
        </w:rPr>
        <w:t xml:space="preserve">Fundamento teórico: </w:t>
      </w:r>
      <w:r>
        <w:t>Teoría de la Neutralización (Sykes &amp; Matza, 1957): describe las técnicas discursivas (negación del daño, negación de la víctima, apelación a lealtades superiores) que una persona usa para justificar la alteración deliberada de información sin sentir culpa.</w:t>
      </w:r>
    </w:p>
    <w:p>
      <w:pPr>
        <w:spacing w:after="80"/>
      </w:pPr>
      <w:r>
        <w:rPr>
          <w:b/>
        </w:rPr>
        <w:t xml:space="preserve">Definición operacional: </w:t>
      </w:r>
      <w:r>
        <w:t>Grado en que una persona considera aceptable, o reporta haber incurrido en, la alteración, omisión o presentación engañosa de documentos, cifras, reportes o información relevante para obtener un beneficio propio, de un tercero o para evitar una consecuencia negativa.</w:t>
      </w:r>
    </w:p>
    <w:p>
      <w:pPr>
        <w:spacing w:after="40"/>
      </w:pPr>
      <w:r>
        <w:rPr>
          <w:b/>
        </w:rPr>
        <w:t>Indicadores conductuales (subdimensiones):</w:t>
      </w:r>
    </w:p>
    <w:p>
      <w:pPr>
        <w:pStyle w:val="ListBullet"/>
      </w:pPr>
      <w:r>
        <w:t>Justificación de 'ajustar' un reporte o cifra cuando la versión real resulta desfavorable.</w:t>
      </w:r>
    </w:p>
    <w:p>
      <w:pPr>
        <w:pStyle w:val="ListBullet"/>
      </w:pPr>
      <w:r>
        <w:t>Reporte de haber alterado u omitido información en un documento laboral para evitar una consecuencia.</w:t>
      </w:r>
    </w:p>
    <w:p>
      <w:pPr>
        <w:pStyle w:val="ListBullet"/>
      </w:pPr>
      <w:r>
        <w:t>Percepción de qué tan común es maquillar reportes o resultados en su industria o entorno.</w:t>
      </w:r>
    </w:p>
    <w:p>
      <w:pPr>
        <w:pStyle w:val="ListBullet"/>
      </w:pPr>
      <w:r>
        <w:t>Disposición a firmar o avalar un documento cuyo contenido sabe que es parcialmente inexacto.</w:t>
      </w:r>
    </w:p>
    <w:p/>
    <w:p>
      <w:pPr>
        <w:pStyle w:val="Heading2"/>
      </w:pPr>
      <w:r>
        <w:t>10. Distanciamiento de Redes de Ilegalidad</w:t>
      </w:r>
    </w:p>
    <w:p>
      <w:pPr>
        <w:spacing w:after="40"/>
      </w:pPr>
      <w:r>
        <w:rPr>
          <w:b/>
        </w:rPr>
        <w:t xml:space="preserve">Familia: </w:t>
      </w:r>
      <w:r>
        <w:t>Integridad Nuclear</w:t>
      </w:r>
    </w:p>
    <w:p>
      <w:pPr>
        <w:spacing w:after="40"/>
      </w:pPr>
      <w:r>
        <w:rPr>
          <w:b/>
        </w:rPr>
        <w:t xml:space="preserve">Origen: </w:t>
      </w:r>
      <w:r>
        <w:t>Renombrada (equivalente conceptual a la dimensión de actitudes favorables hacia la delincuencia identificada en el análisis previo)</w:t>
      </w:r>
    </w:p>
    <w:p>
      <w:pPr>
        <w:spacing w:after="40"/>
      </w:pPr>
      <w:r>
        <w:rPr>
          <w:b/>
        </w:rPr>
        <w:t xml:space="preserve">Fundamento teórico: </w:t>
      </w:r>
      <w:r>
        <w:t>Teoría de la Asociación Diferencial (Sutherland, 1947): plantea que las actitudes favorables o desfavorables hacia la conducta ilegal se aprenden principalmente a través de la interacción con otros, y que la exposición sostenida a definiciones favorables a la ilegalidad incrementa la probabilidad de conducta delictiva propia.</w:t>
      </w:r>
    </w:p>
    <w:p>
      <w:pPr>
        <w:spacing w:after="80"/>
      </w:pPr>
      <w:r>
        <w:rPr>
          <w:b/>
        </w:rPr>
        <w:t xml:space="preserve">Definición operacional: </w:t>
      </w:r>
      <w:r>
        <w:t>Grado en que una persona expresa actitudes de aceptación, admiración o cercanía hacia personas o grupos que se dedican a actividades ilícitas, o considera legítimo asociarse con ellos si existe un beneficio personal.</w:t>
      </w:r>
    </w:p>
    <w:p>
      <w:pPr>
        <w:spacing w:after="40"/>
      </w:pPr>
      <w:r>
        <w:rPr>
          <w:b/>
        </w:rPr>
        <w:t>Indicadores conductuales (subdimensiones):</w:t>
      </w:r>
    </w:p>
    <w:p>
      <w:pPr>
        <w:pStyle w:val="ListBullet"/>
      </w:pPr>
      <w:r>
        <w:t>Expresión de admiración o justificación hacia figuras conocidas por actividades ilícitas.</w:t>
      </w:r>
    </w:p>
    <w:p>
      <w:pPr>
        <w:pStyle w:val="ListBullet"/>
      </w:pPr>
      <w:r>
        <w:t>Disposición declarada a mantener una relación cercana (personal o de negocio) con alguien que sabe involucrado en actividad ilegal, si resulta conveniente.</w:t>
      </w:r>
    </w:p>
    <w:p>
      <w:pPr>
        <w:pStyle w:val="ListBullet"/>
      </w:pPr>
      <w:r>
        <w:t>Minimización de la gravedad de pertenecer a redes o grupos con actividad ilícita conocida.</w:t>
      </w:r>
    </w:p>
    <w:p>
      <w:pPr>
        <w:pStyle w:val="ListBullet"/>
      </w:pPr>
      <w:r>
        <w:t>Percepción de qué tan riesgoso considera relacionarse con ese tipo de personas o grupos.</w:t>
      </w:r>
    </w:p>
    <w:p/>
    <w:p>
      <w:pPr>
        <w:pStyle w:val="Heading2"/>
      </w:pPr>
      <w:r>
        <w:t>11. Autorregulación ante Sustancias</w:t>
      </w:r>
    </w:p>
    <w:p>
      <w:pPr>
        <w:spacing w:after="40"/>
      </w:pPr>
      <w:r>
        <w:rPr>
          <w:b/>
        </w:rPr>
        <w:t xml:space="preserve">Familia: </w:t>
      </w:r>
      <w:r>
        <w:t>Factores Contextuales</w:t>
      </w:r>
    </w:p>
    <w:p>
      <w:pPr>
        <w:spacing w:after="40"/>
      </w:pPr>
      <w:r>
        <w:rPr>
          <w:b/>
        </w:rPr>
        <w:t xml:space="preserve">Origen: </w:t>
      </w:r>
      <w:r>
        <w:t>Renombrada (equivalente conceptual a la dimensión de uso de sustancias identificada en el análisis previo)</w:t>
      </w:r>
    </w:p>
    <w:p>
      <w:pPr>
        <w:spacing w:after="40"/>
      </w:pPr>
      <w:r>
        <w:rPr>
          <w:b/>
        </w:rPr>
        <w:t xml:space="preserve">Fundamento teórico: </w:t>
      </w:r>
      <w:r>
        <w:t>Modelo Transteórico del Cambio (Prochaska &amp; DiClemente, 1983): describe distintas etapas de conciencia y control frente a una conducta de consumo, útil para diferenciar consumo ocasional reconocido de consumo que la persona ya no logra regular ni reconocer como problemático.</w:t>
      </w:r>
    </w:p>
    <w:p>
      <w:pPr>
        <w:spacing w:after="80"/>
      </w:pPr>
      <w:r>
        <w:rPr>
          <w:b/>
        </w:rPr>
        <w:t xml:space="preserve">Definición operacional: </w:t>
      </w:r>
      <w:r>
        <w:t>Grado en que el consumo de alcohol u otras sustancias legales o ilegales interfiere, o la persona reconoce que podría interferir, con su desempeño, juicio o comportamiento en el entorno laboral, y el grado de conciencia y control que declara tener sobre dicho consumo.</w:t>
      </w:r>
    </w:p>
    <w:p>
      <w:pPr>
        <w:spacing w:after="40"/>
      </w:pPr>
      <w:r>
        <w:rPr>
          <w:b/>
        </w:rPr>
        <w:t>Indicadores conductuales (subdimensiones):</w:t>
      </w:r>
    </w:p>
    <w:p>
      <w:pPr>
        <w:pStyle w:val="ListBullet"/>
      </w:pPr>
      <w:r>
        <w:t>Reporte de frecuencia de consumo de sustancias que podrían afectar el desempeño laboral.</w:t>
      </w:r>
    </w:p>
    <w:p>
      <w:pPr>
        <w:pStyle w:val="ListBullet"/>
      </w:pPr>
      <w:r>
        <w:t>Justificación del consumo en contexto o previo al horario laboral como 'no problemático'.</w:t>
      </w:r>
    </w:p>
    <w:p>
      <w:pPr>
        <w:pStyle w:val="ListBullet"/>
      </w:pPr>
      <w:r>
        <w:t>Percepción propia de control sobre la decisión de consumir o no consumir en una situación dada.</w:t>
      </w:r>
    </w:p>
    <w:p>
      <w:pPr>
        <w:pStyle w:val="ListBullet"/>
      </w:pPr>
      <w:r>
        <w:t>Reporte de consecuencias laborales previas (tardanzas, ausencias, errores) asociadas al consumo.</w:t>
      </w:r>
    </w:p>
    <w:p/>
    <w:p>
      <w:pPr>
        <w:pStyle w:val="Heading2"/>
      </w:pPr>
      <w:r>
        <w:t>12. Apego a la Norma Social</w:t>
      </w:r>
    </w:p>
    <w:p>
      <w:pPr>
        <w:spacing w:after="40"/>
      </w:pPr>
      <w:r>
        <w:rPr>
          <w:b/>
        </w:rPr>
        <w:t xml:space="preserve">Familia: </w:t>
      </w:r>
      <w:r>
        <w:t>Factores Contextuales</w:t>
      </w:r>
    </w:p>
    <w:p>
      <w:pPr>
        <w:spacing w:after="40"/>
      </w:pPr>
      <w:r>
        <w:rPr>
          <w:b/>
        </w:rPr>
        <w:t xml:space="preserve">Origen: </w:t>
      </w:r>
      <w:r>
        <w:t>Renombrada (equivalente conceptual a la dimensión de respeto al orden social identificada en el análisis previo)</w:t>
      </w:r>
    </w:p>
    <w:p>
      <w:pPr>
        <w:spacing w:after="40"/>
      </w:pPr>
      <w:r>
        <w:rPr>
          <w:b/>
        </w:rPr>
        <w:t xml:space="preserve">Fundamento teórico: </w:t>
      </w:r>
      <w:r>
        <w:t>Teoría del Vínculo Social (Hirschi, 1969): propone que el apego, compromiso, involucramiento y creencia en las normas sociales convencionales son los factores que inhiben la conducta que las transgrede; a menor vínculo social, mayor probabilidad de transgresión.</w:t>
      </w:r>
    </w:p>
    <w:p>
      <w:pPr>
        <w:spacing w:after="80"/>
      </w:pPr>
      <w:r>
        <w:rPr>
          <w:b/>
        </w:rPr>
        <w:t xml:space="preserve">Definición operacional: </w:t>
      </w:r>
      <w:r>
        <w:t>Grado en que una persona reconoce como legítimas las normas, leyes y reglas de convivencia social vigentes, y las respeta incluso cuando percibe una baja probabilidad de ser sancionada por incumplirlas.</w:t>
      </w:r>
    </w:p>
    <w:p>
      <w:pPr>
        <w:spacing w:after="40"/>
      </w:pPr>
      <w:r>
        <w:rPr>
          <w:b/>
        </w:rPr>
        <w:t>Indicadores conductuales (subdimensiones):</w:t>
      </w:r>
    </w:p>
    <w:p>
      <w:pPr>
        <w:pStyle w:val="ListBullet"/>
      </w:pPr>
      <w:r>
        <w:t>Justificación de saltarse una norma de tránsito, fiscal o administrativa cuando 'nadie mira'.</w:t>
      </w:r>
    </w:p>
    <w:p>
      <w:pPr>
        <w:pStyle w:val="ListBullet"/>
      </w:pPr>
      <w:r>
        <w:t>Percepción de legitimidad de las normas sociales vigentes, más allá del temor a la sanción.</w:t>
      </w:r>
    </w:p>
    <w:p>
      <w:pPr>
        <w:pStyle w:val="ListBullet"/>
      </w:pPr>
      <w:r>
        <w:t>Reporte de involucramiento pasado en infracciones menores a normas de convivencia.</w:t>
      </w:r>
    </w:p>
    <w:p>
      <w:pPr>
        <w:pStyle w:val="ListBullet"/>
      </w:pPr>
      <w:r>
        <w:t>Disposición a respetar una norma que considera poco razonable o injusta.</w:t>
      </w:r>
    </w:p>
    <w:p/>
    <w:p>
      <w:pPr>
        <w:pStyle w:val="Heading2"/>
      </w:pPr>
      <w:r>
        <w:t>13. Gestión Responsable de Recursos Propios</w:t>
      </w:r>
    </w:p>
    <w:p>
      <w:pPr>
        <w:spacing w:after="40"/>
      </w:pPr>
      <w:r>
        <w:rPr>
          <w:b/>
        </w:rPr>
        <w:t xml:space="preserve">Familia: </w:t>
      </w:r>
      <w:r>
        <w:t>Factores Contextuales</w:t>
      </w:r>
    </w:p>
    <w:p>
      <w:pPr>
        <w:spacing w:after="40"/>
      </w:pPr>
      <w:r>
        <w:rPr>
          <w:b/>
        </w:rPr>
        <w:t xml:space="preserve">Origen: </w:t>
      </w:r>
      <w:r>
        <w:t>Renombrada (equivalente conceptual a la dimensión de situación financiera identificada en el análisis previo)</w:t>
      </w:r>
    </w:p>
    <w:p>
      <w:pPr>
        <w:spacing w:after="40"/>
      </w:pPr>
      <w:r>
        <w:rPr>
          <w:b/>
        </w:rPr>
        <w:t xml:space="preserve">Fundamento teórico: </w:t>
      </w:r>
      <w:r>
        <w:t>Teoría de la Conducta Planificada (Ajzen, 1991) aplicada a decisiones financieras: modela la conducta de endeudamiento y gasto como función de actitudes, normas percibidas y control percibido sobre las propias finanzas.</w:t>
      </w:r>
    </w:p>
    <w:p>
      <w:pPr>
        <w:spacing w:after="80"/>
      </w:pPr>
      <w:r>
        <w:rPr>
          <w:b/>
        </w:rPr>
        <w:t xml:space="preserve">Definición operacional: </w:t>
      </w:r>
      <w:r>
        <w:t>Grado en que una persona gestiona sus recursos financieros propios de forma planificada y sostenible, en contraste con un patrón de endeudamiento reiterado, gasto impulsivo o dependencia de terceros para cubrir necesidades básicas, que la literatura de riesgo laboral asocia con mayor presión situacional hacia la deshonestidad.</w:t>
      </w:r>
    </w:p>
    <w:p>
      <w:pPr>
        <w:spacing w:after="40"/>
      </w:pPr>
      <w:r>
        <w:rPr>
          <w:b/>
        </w:rPr>
        <w:t>Indicadores conductuales (subdimensiones):</w:t>
      </w:r>
    </w:p>
    <w:p>
      <w:pPr>
        <w:pStyle w:val="ListBullet"/>
      </w:pPr>
      <w:r>
        <w:t>Reporte de nivel de endeudamiento actual en relación con los ingresos declarados.</w:t>
      </w:r>
    </w:p>
    <w:p>
      <w:pPr>
        <w:pStyle w:val="ListBullet"/>
      </w:pPr>
      <w:r>
        <w:t>Percepción propia sobre el control que ejerce sobre sus decisiones de gasto.</w:t>
      </w:r>
    </w:p>
    <w:p>
      <w:pPr>
        <w:pStyle w:val="ListBullet"/>
      </w:pPr>
      <w:r>
        <w:t>Justificación del endeudamiento como forma aceptable de sostener un nivel de vida no acorde a los ingresos.</w:t>
      </w:r>
    </w:p>
    <w:p>
      <w:pPr>
        <w:pStyle w:val="ListBullet"/>
      </w:pPr>
      <w:r>
        <w:t>Reporte de presión financiera actual percibida como significativa.</w:t>
      </w:r>
    </w:p>
    <w:p/>
    <w:p>
      <w:pPr>
        <w:pStyle w:val="Heading2"/>
      </w:pPr>
      <w:r>
        <w:t>14. Regulación de la Impulsividad</w:t>
      </w:r>
    </w:p>
    <w:p>
      <w:pPr>
        <w:spacing w:after="40"/>
      </w:pPr>
      <w:r>
        <w:rPr>
          <w:b/>
        </w:rPr>
        <w:t xml:space="preserve">Familia: </w:t>
      </w:r>
      <w:r>
        <w:t>Factores Contextuales</w:t>
      </w:r>
    </w:p>
    <w:p>
      <w:pPr>
        <w:spacing w:after="40"/>
      </w:pPr>
      <w:r>
        <w:rPr>
          <w:b/>
        </w:rPr>
        <w:t xml:space="preserve">Origen: </w:t>
      </w:r>
      <w:r>
        <w:t>Renombrada (equivalente conceptual a la dimensión de temeridad/impulsividad identificada en el análisis previo)</w:t>
      </w:r>
    </w:p>
    <w:p>
      <w:pPr>
        <w:spacing w:after="40"/>
      </w:pPr>
      <w:r>
        <w:rPr>
          <w:b/>
        </w:rPr>
        <w:t xml:space="preserve">Fundamento teórico: </w:t>
      </w:r>
      <w:r>
        <w:t>Teoría de la Autorregulación del Yo (Baumeister, 1994): plantea el autocontrol como un recurso limitado que, cuando es bajo, se asocia a decisiones tomadas sin evaluar adecuadamente las consecuencias, incluida la asunción de riesgos innecesarios.</w:t>
      </w:r>
    </w:p>
    <w:p>
      <w:pPr>
        <w:spacing w:after="80"/>
      </w:pPr>
      <w:r>
        <w:rPr>
          <w:b/>
        </w:rPr>
        <w:t xml:space="preserve">Definición operacional: </w:t>
      </w:r>
      <w:r>
        <w:t>Grado en que una persona tiende a actuar o decidir sin evaluar suficientemente las consecuencias, buscando una recompensa o alivio inmediato aun a costa de un riesgo significativo para sí misma o para terceros.</w:t>
      </w:r>
    </w:p>
    <w:p>
      <w:pPr>
        <w:spacing w:after="40"/>
      </w:pPr>
      <w:r>
        <w:rPr>
          <w:b/>
        </w:rPr>
        <w:t>Indicadores conductuales (subdimensiones):</w:t>
      </w:r>
    </w:p>
    <w:p>
      <w:pPr>
        <w:pStyle w:val="ListBullet"/>
      </w:pPr>
      <w:r>
        <w:t>Reporte de decisiones tomadas 'en caliente' que luego la persona reconoce como poco razonadas.</w:t>
      </w:r>
    </w:p>
    <w:p>
      <w:pPr>
        <w:pStyle w:val="ListBullet"/>
      </w:pPr>
      <w:r>
        <w:t>Preferencia declarada por una recompensa pequeña inmediata sobre una mayor pero futura.</w:t>
      </w:r>
    </w:p>
    <w:p>
      <w:pPr>
        <w:pStyle w:val="ListBullet"/>
      </w:pPr>
      <w:r>
        <w:t>Percepción propia de dificultad para detenerse a pensar antes de actuar en situaciones de presión.</w:t>
      </w:r>
    </w:p>
    <w:p>
      <w:pPr>
        <w:pStyle w:val="ListBullet"/>
      </w:pPr>
      <w:r>
        <w:t>Reporte de haber asumido un riesgo significativo sin sopesar adecuadamente sus consecuencias.</w:t>
      </w:r>
    </w:p>
    <w:p/>
    <w:p>
      <w:pPr>
        <w:pStyle w:val="Heading2"/>
      </w:pPr>
      <w:r>
        <w:t>15. Manejo No Violento del Conflicto</w:t>
      </w:r>
    </w:p>
    <w:p>
      <w:pPr>
        <w:spacing w:after="40"/>
      </w:pPr>
      <w:r>
        <w:rPr>
          <w:b/>
        </w:rPr>
        <w:t xml:space="preserve">Familia: </w:t>
      </w:r>
      <w:r>
        <w:t>Factores Contextuales</w:t>
      </w:r>
    </w:p>
    <w:p>
      <w:pPr>
        <w:spacing w:after="40"/>
      </w:pPr>
      <w:r>
        <w:rPr>
          <w:b/>
        </w:rPr>
        <w:t xml:space="preserve">Origen: </w:t>
      </w:r>
      <w:r>
        <w:t>Renombrada (equivalente conceptual a la dimensión de agresividad/violencia identificada en el análisis previo)</w:t>
      </w:r>
    </w:p>
    <w:p>
      <w:pPr>
        <w:spacing w:after="40"/>
      </w:pPr>
      <w:r>
        <w:rPr>
          <w:b/>
        </w:rPr>
        <w:t xml:space="preserve">Fundamento teórico: </w:t>
      </w:r>
      <w:r>
        <w:t>Modelo General de la Agresión (Anderson &amp; Bushman, 2002): integra factores de personalidad y situacionales para explicar la probabilidad de una respuesta agresiva (física, verbal o relacional) ante una provocación o frustración percibida.</w:t>
      </w:r>
    </w:p>
    <w:p>
      <w:pPr>
        <w:spacing w:after="80"/>
      </w:pPr>
      <w:r>
        <w:rPr>
          <w:b/>
        </w:rPr>
        <w:t xml:space="preserve">Definición operacional: </w:t>
      </w:r>
      <w:r>
        <w:t>Grado en que una persona recurre, o considera aceptable recurrir, a la agresión física, verbal o relacional como forma de resolver un conflicto o responder a una frustración, en contraste con estrategias de resolución no violentas.</w:t>
      </w:r>
    </w:p>
    <w:p>
      <w:pPr>
        <w:spacing w:after="40"/>
      </w:pPr>
      <w:r>
        <w:rPr>
          <w:b/>
        </w:rPr>
        <w:t>Indicadores conductuales (subdimensiones):</w:t>
      </w:r>
    </w:p>
    <w:p>
      <w:pPr>
        <w:pStyle w:val="ListBullet"/>
      </w:pPr>
      <w:r>
        <w:t>Justificación de una respuesta agresiva verbal o física ante una provocación laboral.</w:t>
      </w:r>
    </w:p>
    <w:p>
      <w:pPr>
        <w:pStyle w:val="ListBullet"/>
      </w:pPr>
      <w:r>
        <w:t>Reporte de involucramiento pasado en conflictos resueltos mediante agresión física o verbal.</w:t>
      </w:r>
    </w:p>
    <w:p>
      <w:pPr>
        <w:pStyle w:val="ListBullet"/>
      </w:pPr>
      <w:r>
        <w:t>Percepción de la agresividad como una muestra de carácter fuerte o liderazgo.</w:t>
      </w:r>
    </w:p>
    <w:p>
      <w:pPr>
        <w:pStyle w:val="ListBullet"/>
      </w:pPr>
      <w:r>
        <w:t>Disposición declarada a buscar mediación o diálogo antes de una confrontación directa.</w:t>
      </w:r>
    </w:p>
    <w:p/>
    <w:p>
      <w:pPr>
        <w:pStyle w:val="Heading2"/>
      </w:pPr>
      <w:r>
        <w:t>16. Control de la Conducta de Riesgo Recreativo</w:t>
      </w:r>
    </w:p>
    <w:p>
      <w:pPr>
        <w:spacing w:after="40"/>
      </w:pPr>
      <w:r>
        <w:rPr>
          <w:b/>
        </w:rPr>
        <w:t xml:space="preserve">Familia: </w:t>
      </w:r>
      <w:r>
        <w:t>Factores Contextuales</w:t>
      </w:r>
    </w:p>
    <w:p>
      <w:pPr>
        <w:spacing w:after="40"/>
      </w:pPr>
      <w:r>
        <w:rPr>
          <w:b/>
        </w:rPr>
        <w:t xml:space="preserve">Origen: </w:t>
      </w:r>
      <w:r>
        <w:t>Renombrada (equivalente conceptual a la dimensión de juegos de azar identificada en el análisis previo)</w:t>
      </w:r>
    </w:p>
    <w:p>
      <w:pPr>
        <w:spacing w:after="40"/>
      </w:pPr>
      <w:r>
        <w:rPr>
          <w:b/>
        </w:rPr>
        <w:t xml:space="preserve">Fundamento teórico: </w:t>
      </w:r>
      <w:r>
        <w:t>Modelo de Adicciones Conductuales (Griffiths, 2005): describe componentes de una conducta adictiva no química (saliencia, modificación del estado de ánimo, tolerancia, conflicto, recaída) aplicables al juego de apuestas.</w:t>
      </w:r>
    </w:p>
    <w:p>
      <w:pPr>
        <w:spacing w:after="80"/>
      </w:pPr>
      <w:r>
        <w:rPr>
          <w:b/>
        </w:rPr>
        <w:t xml:space="preserve">Definición operacional: </w:t>
      </w:r>
      <w:r>
        <w:t>Grado en que la participación en juegos de azar o apuestas ha alcanzado, o la persona reconoce riesgo de alcanzar, un nivel que compromete su estabilidad financiera, su desempeño laboral o sus relaciones personales.</w:t>
      </w:r>
    </w:p>
    <w:p>
      <w:pPr>
        <w:spacing w:after="40"/>
      </w:pPr>
      <w:r>
        <w:rPr>
          <w:b/>
        </w:rPr>
        <w:t>Indicadores conductuales (subdimensiones):</w:t>
      </w:r>
    </w:p>
    <w:p>
      <w:pPr>
        <w:pStyle w:val="ListBullet"/>
      </w:pPr>
      <w:r>
        <w:t>Reporte de frecuencia e intensidad de participación en juegos de azar o apuestas.</w:t>
      </w:r>
    </w:p>
    <w:p>
      <w:pPr>
        <w:pStyle w:val="ListBullet"/>
      </w:pPr>
      <w:r>
        <w:t>Percepción propia de control sobre la decisión de detenerse al apostar.</w:t>
      </w:r>
    </w:p>
    <w:p>
      <w:pPr>
        <w:pStyle w:val="ListBullet"/>
      </w:pPr>
      <w:r>
        <w:t>Reporte de haber usado recursos destinados a otros fines para apostar.</w:t>
      </w:r>
    </w:p>
    <w:p>
      <w:pPr>
        <w:pStyle w:val="ListBullet"/>
      </w:pPr>
      <w:r>
        <w:t>Reporte de consecuencias financieras o personales previas asociadas al juego.</w:t>
      </w:r>
    </w:p>
    <w:p/>
    <w:p>
      <w:pPr>
        <w:pStyle w:val="Heading2"/>
      </w:pPr>
      <w:r>
        <w:t>17. Orientación Prosocial</w:t>
      </w:r>
    </w:p>
    <w:p>
      <w:pPr>
        <w:spacing w:after="40"/>
      </w:pPr>
      <w:r>
        <w:rPr>
          <w:b/>
        </w:rPr>
        <w:t xml:space="preserve">Familia: </w:t>
      </w:r>
      <w:r>
        <w:t>Factores Contextuales</w:t>
      </w:r>
    </w:p>
    <w:p>
      <w:pPr>
        <w:spacing w:after="40"/>
      </w:pPr>
      <w:r>
        <w:rPr>
          <w:b/>
        </w:rPr>
        <w:t xml:space="preserve">Origen: </w:t>
      </w:r>
      <w:r>
        <w:t>Renombrada (equivalente conceptual a la dimensión de egoísmo identificada en el análisis previo)</w:t>
      </w:r>
    </w:p>
    <w:p>
      <w:pPr>
        <w:spacing w:after="40"/>
      </w:pPr>
      <w:r>
        <w:rPr>
          <w:b/>
        </w:rPr>
        <w:t xml:space="preserve">Fundamento teórico: </w:t>
      </w:r>
      <w:r>
        <w:t>Teoría de la Empatía-Altruismo (Batson, 1991): sostiene que la empatía genuina hacia el bienestar de otros predice conducta prosocial genuina, en contraste con una orientación centrada exclusivamente en el beneficio propio.</w:t>
      </w:r>
    </w:p>
    <w:p>
      <w:pPr>
        <w:spacing w:after="80"/>
      </w:pPr>
      <w:r>
        <w:rPr>
          <w:b/>
        </w:rPr>
        <w:t xml:space="preserve">Definición operacional: </w:t>
      </w:r>
      <w:r>
        <w:t>Grado en que una persona considera el bienestar de terceros y del colectivo al tomar decisiones, en contraste con una orientación que privilegia sistemáticamente el beneficio personal aun a costa de un perjuicio evitable para otros.</w:t>
      </w:r>
    </w:p>
    <w:p>
      <w:pPr>
        <w:spacing w:after="40"/>
      </w:pPr>
      <w:r>
        <w:rPr>
          <w:b/>
        </w:rPr>
        <w:t>Indicadores conductuales (subdimensiones):</w:t>
      </w:r>
    </w:p>
    <w:p>
      <w:pPr>
        <w:pStyle w:val="ListBullet"/>
      </w:pPr>
      <w:r>
        <w:t>Disposición a ceder un beneficio propio menor para evitar un perjuicio mayor a un tercero.</w:t>
      </w:r>
    </w:p>
    <w:p>
      <w:pPr>
        <w:pStyle w:val="ListBullet"/>
      </w:pPr>
      <w:r>
        <w:t>Percepción propia sobre qué tanto considera el impacto de sus decisiones en sus compañeros.</w:t>
      </w:r>
    </w:p>
    <w:p>
      <w:pPr>
        <w:pStyle w:val="ListBullet"/>
      </w:pPr>
      <w:r>
        <w:t>Reporte de haber priorizado sistemáticamente el interés propio en decisiones de equipo.</w:t>
      </w:r>
    </w:p>
    <w:p>
      <w:pPr>
        <w:pStyle w:val="ListBullet"/>
      </w:pPr>
      <w:r>
        <w:t>Disposición a colaborar en una tarea sin beneficio personal directo cuando el equipo lo necesita.</w:t>
      </w:r>
    </w:p>
    <w:p/>
    <w:p>
      <w:pPr>
        <w:pStyle w:val="Heading2"/>
      </w:pPr>
      <w:r>
        <w:t>18. Conflicto de Interés</w:t>
      </w:r>
    </w:p>
    <w:p>
      <w:pPr>
        <w:spacing w:after="40"/>
      </w:pPr>
      <w:r>
        <w:rPr>
          <w:b/>
        </w:rPr>
        <w:t xml:space="preserve">Familia: </w:t>
      </w:r>
      <w:r>
        <w:t>Integridad Nuclear</w:t>
      </w:r>
    </w:p>
    <w:p>
      <w:pPr>
        <w:spacing w:after="40"/>
      </w:pPr>
      <w:r>
        <w:rPr>
          <w:b/>
        </w:rPr>
        <w:t xml:space="preserve">Origen: </w:t>
      </w:r>
      <w:r>
        <w:t>Nueva (brecha identificada en el análisis de la Fase 1: conflicto de intereses como dimensión propia, no cubierta -relaciones familiares/comerciales no declaradas con proveedores)</w:t>
      </w:r>
    </w:p>
    <w:p>
      <w:pPr>
        <w:spacing w:after="40"/>
      </w:pPr>
      <w:r>
        <w:rPr>
          <w:b/>
        </w:rPr>
        <w:t xml:space="preserve">Fundamento teórico: </w:t>
      </w:r>
      <w:r>
        <w:t>Teoría de la Agencia (Jensen &amp; Meckling, 1976): analiza los problemas que surgen cuando quien decide (agente) tiene intereses propios que pueden divergir de los de la organización que representa (principal), y la necesidad de declarar esos intereses para preservar la confianza.</w:t>
      </w:r>
    </w:p>
    <w:p>
      <w:pPr>
        <w:spacing w:after="80"/>
      </w:pPr>
      <w:r>
        <w:rPr>
          <w:b/>
        </w:rPr>
        <w:t xml:space="preserve">Definición operacional: </w:t>
      </w:r>
      <w:r>
        <w:t>Grado en que una persona reconoce la obligación de declarar relaciones personales, familiares, financieras o comerciales que podrían influir -o parecer influir- en sus decisiones laborales, y evita tomar decisiones donde dicho interés no declarado le beneficia directa o indirectamente.</w:t>
      </w:r>
    </w:p>
    <w:p>
      <w:pPr>
        <w:spacing w:after="40"/>
      </w:pPr>
      <w:r>
        <w:rPr>
          <w:b/>
        </w:rPr>
        <w:t>Indicadores conductuales (subdimensiones):</w:t>
      </w:r>
    </w:p>
    <w:p>
      <w:pPr>
        <w:pStyle w:val="ListBullet"/>
      </w:pPr>
      <w:r>
        <w:t>Justificación de no declarar una relación personal o familiar con un proveedor o candidato evaluado.</w:t>
      </w:r>
    </w:p>
    <w:p>
      <w:pPr>
        <w:pStyle w:val="ListBullet"/>
      </w:pPr>
      <w:r>
        <w:t>Disposición a favorecer, en igualdad de condiciones, a una persona o empresa vinculada a un interés personal no declarado.</w:t>
      </w:r>
    </w:p>
    <w:p>
      <w:pPr>
        <w:pStyle w:val="ListBullet"/>
      </w:pPr>
      <w:r>
        <w:t>Percepción de qué tan grave considera participar en una decisión donde tiene un interés personal en juego.</w:t>
      </w:r>
    </w:p>
    <w:p>
      <w:pPr>
        <w:pStyle w:val="ListBullet"/>
      </w:pPr>
      <w:r>
        <w:t>Reporte de haber declarado proactivamente un posible conflicto de interés en el pasado.</w:t>
      </w:r>
    </w:p>
    <w:p/>
    <w:p>
      <w:pPr>
        <w:pStyle w:val="Heading2"/>
      </w:pPr>
      <w:r>
        <w:t>19. Uso Indebido de Recursos No Físicos</w:t>
      </w:r>
    </w:p>
    <w:p>
      <w:pPr>
        <w:spacing w:after="40"/>
      </w:pPr>
      <w:r>
        <w:rPr>
          <w:b/>
        </w:rPr>
        <w:t xml:space="preserve">Familia: </w:t>
      </w:r>
      <w:r>
        <w:t>Integridad Nuclear</w:t>
      </w:r>
    </w:p>
    <w:p>
      <w:pPr>
        <w:spacing w:after="40"/>
      </w:pPr>
      <w:r>
        <w:rPr>
          <w:b/>
        </w:rPr>
        <w:t xml:space="preserve">Origen: </w:t>
      </w:r>
      <w:r>
        <w:t>Nueva (brecha identificada en el análisis de la Fase 1: uso indebido de recursos organizacionales no monetarios -tiempo, activos digitales, datos- diferenciado del robo clásico de bienes físicos)</w:t>
      </w:r>
    </w:p>
    <w:p>
      <w:pPr>
        <w:spacing w:after="40"/>
      </w:pPr>
      <w:r>
        <w:rPr>
          <w:b/>
        </w:rPr>
        <w:t xml:space="preserve">Fundamento teórico: </w:t>
      </w:r>
      <w:r>
        <w:t>Teoría del Contrato Psicológico (Rousseau, 1989): describe las expectativas implícitas mutuas entre empleado y organización; su incumplimiento unilateral -por ejemplo, usar el tiempo o los activos digitales pagados por la organización para fines personales no autorizados- se interpreta como una forma de deshonestidad distinta al hurto de bienes físicos.</w:t>
      </w:r>
    </w:p>
    <w:p>
      <w:pPr>
        <w:spacing w:after="80"/>
      </w:pPr>
      <w:r>
        <w:rPr>
          <w:b/>
        </w:rPr>
        <w:t xml:space="preserve">Definición operacional: </w:t>
      </w:r>
      <w:r>
        <w:t>Grado en que una persona considera aceptable, o reporta haber incurrido en, el uso no autorizado de recursos organizacionales de naturaleza no física -tiempo laboral, cuentas y accesos digitales, datos o información confidencial de la organización o de terceros, licencias de software, ancho de banda- para fines personales ajenos a su función.</w:t>
      </w:r>
    </w:p>
    <w:p>
      <w:pPr>
        <w:spacing w:after="40"/>
      </w:pPr>
      <w:r>
        <w:rPr>
          <w:b/>
        </w:rPr>
        <w:t>Indicadores conductuales (subdimensiones):</w:t>
      </w:r>
    </w:p>
    <w:p>
      <w:pPr>
        <w:pStyle w:val="ListBullet"/>
      </w:pPr>
      <w:r>
        <w:t>Justificación de usar el tiempo laboral pagado para actividades personales no autorizadas de forma extensa.</w:t>
      </w:r>
    </w:p>
    <w:p>
      <w:pPr>
        <w:pStyle w:val="ListBullet"/>
      </w:pPr>
      <w:r>
        <w:t>Reporte de haber usado accesos digitales de la organización para fines personales o de terceros.</w:t>
      </w:r>
    </w:p>
    <w:p>
      <w:pPr>
        <w:pStyle w:val="ListBullet"/>
      </w:pPr>
      <w:r>
        <w:t>Percepción de la gravedad de compartir información o datos de la organización sin autorización.</w:t>
      </w:r>
    </w:p>
    <w:p>
      <w:pPr>
        <w:pStyle w:val="ListBullet"/>
      </w:pPr>
      <w:r>
        <w:t>Disposición a usar información confidencial obtenida en el trabajo para un beneficio personal fuera de él.</w:t>
      </w:r>
    </w:p>
    <w:p/>
    <w:p>
      <w:pPr>
        <w:pStyle w:val="Heading2"/>
      </w:pPr>
      <w:r>
        <w:t>20. Percepción de Impunidad</w:t>
      </w:r>
    </w:p>
    <w:p>
      <w:pPr>
        <w:spacing w:after="40"/>
      </w:pPr>
      <w:r>
        <w:rPr>
          <w:b/>
        </w:rPr>
        <w:t xml:space="preserve">Familia: </w:t>
      </w:r>
      <w:r>
        <w:t>Factores Contextuales</w:t>
      </w:r>
    </w:p>
    <w:p>
      <w:pPr>
        <w:spacing w:after="40"/>
      </w:pPr>
      <w:r>
        <w:rPr>
          <w:b/>
        </w:rPr>
        <w:t xml:space="preserve">Origen: </w:t>
      </w:r>
      <w:r>
        <w:t>Nueva (brecha identificada en el análisis de la Fase 1: percepción de impunidad mencionada de forma anecdótica, sin dimensión propia)</w:t>
      </w:r>
    </w:p>
    <w:p>
      <w:pPr>
        <w:spacing w:after="40"/>
      </w:pPr>
      <w:r>
        <w:rPr>
          <w:b/>
        </w:rPr>
        <w:t xml:space="preserve">Fundamento teórico: </w:t>
      </w:r>
      <w:r>
        <w:t>Teoría de la Disuasión (Becker, 1968; Paternoster, 2010): sostiene que la probabilidad subjetiva de ser descubierto y sancionado, más que la severidad objetiva de la sanción, es uno de los predictores más consistentes de la decisión de incurrir en una conducta deshonesta.</w:t>
      </w:r>
    </w:p>
    <w:p>
      <w:pPr>
        <w:spacing w:after="80"/>
      </w:pPr>
      <w:r>
        <w:rPr>
          <w:b/>
        </w:rPr>
        <w:t xml:space="preserve">Definición operacional: </w:t>
      </w:r>
      <w:r>
        <w:t>Grado en que una persona percibe que las conductas deshonestas en su entorno laboral tienen una baja probabilidad de ser detectadas o sancionadas, y en qué medida dicha percepción de impunidad se asocia, en su propio discurso, con una mayor disposición a incurrir en ellas.</w:t>
      </w:r>
    </w:p>
    <w:p>
      <w:pPr>
        <w:spacing w:after="40"/>
      </w:pPr>
      <w:r>
        <w:rPr>
          <w:b/>
        </w:rPr>
        <w:t>Indicadores conductuales (subdimensiones):</w:t>
      </w:r>
    </w:p>
    <w:p>
      <w:pPr>
        <w:pStyle w:val="ListBullet"/>
      </w:pPr>
      <w:r>
        <w:t>Percepción de la probabilidad de que una conducta deshonesta propia sea detectada en su entorno actual.</w:t>
      </w:r>
    </w:p>
    <w:p>
      <w:pPr>
        <w:pStyle w:val="ListBullet"/>
      </w:pPr>
      <w:r>
        <w:t>Percepción de qué tan severas o consistentes son las sanciones a la deshonestidad en su organización o industria.</w:t>
      </w:r>
    </w:p>
    <w:p>
      <w:pPr>
        <w:pStyle w:val="ListBullet"/>
      </w:pPr>
      <w:r>
        <w:t>Asociación declarada entre 'baja probabilidad de ser descubierto' y mayor disposición personal a actuar deshonestamente.</w:t>
      </w:r>
    </w:p>
    <w:p>
      <w:pPr>
        <w:pStyle w:val="ListBullet"/>
      </w:pPr>
      <w:r>
        <w:t>Percepción de la eficacia de los controles de supervisión existentes en su entorno laboral.</w:t>
      </w:r>
    </w:p>
    <w:p/>
    <w:p>
      <w:r>
        <w:br w:type="page"/>
      </w:r>
    </w:p>
    <w:p>
      <w:pPr>
        <w:pStyle w:val="Heading1"/>
      </w:pPr>
      <w:r>
        <w:t>4. Notas de trazabilidad y siguientes pasos</w:t>
      </w:r>
    </w:p>
    <w:p>
      <w:pPr>
        <w:spacing w:after="120"/>
      </w:pPr>
      <w:r>
        <w:rPr>
          <w:b w:val="0"/>
          <w:i w:val="0"/>
        </w:rPr>
        <w:t>[HECHO] Esta ficha de 20 dimensiones es el insumo directo para la Fase 2 (marco de reactivos y escalas) y las Fases 3-5 (banco de reactivos). Cada indicador conductual listado en la Sección 3 debe dar origen a al menos un reactivo original en el banco, evitando cualquier reformulación de ejemplos de reactivos de AMITAI®, Midot o Kudert.</w:t>
      </w:r>
    </w:p>
    <w:p>
      <w:pPr>
        <w:spacing w:after="120"/>
      </w:pPr>
      <w:r>
        <w:rPr>
          <w:b w:val="0"/>
          <w:i w:val="0"/>
        </w:rPr>
        <w:t>[INFERENCIA] La tabla de la Sección 2 preserva, solo con fines de trazabilidad interna del proyecto (no para uso público ni comercial), la correspondencia con la dimensión equivalente identificada en el análisis de la Fase 1; esta trazabilidad no implica ni requiere similitud textual alguna con el contenido original de AMITAI®.</w:t>
      </w:r>
    </w:p>
    <w:p>
      <w:pPr>
        <w:spacing w:after="120"/>
      </w:pPr>
      <w:r>
        <w:rPr>
          <w:b w:val="0"/>
          <w:i w:val="0"/>
        </w:rPr>
        <w:t>[DESCONOCIDO] La confirmación empírica de que estas 20 dimensiones son estadísticamente distinguibles entre sí (estructura factorial propia) solo podrá establecerse con datos piloto reales, conforme al plan de validación de la Fase 9.</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