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2 — Marco de Reactivos y Escalas</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define el marco de reactivos y escalas del nuevo instrumento: tipología de reactivos, formato de escala, reglas de direccionalidad, diseño de reactivos espejo/consistencia e indicadores de validez. Es insumo directo para la redacción del banco de reactivos (Fases 3 a 5) y para la matriz de scoring (Fase 6). Ningún reactivo, ejemplo o regla de este documento reproduce o parafrasea contenido de AMITAI®, Midot o Kudert; el diseño se deriva de la arquitectura de dimensiones de la Fase 1 y de marcos psicométricos generales.</w:t>
      </w:r>
    </w:p>
    <w:p>
      <w:pPr>
        <w:spacing w:after="200"/>
      </w:pPr>
      <w:r>
        <w:rPr>
          <w:rFonts w:ascii="Calibri" w:cs="Calibri" w:eastAsia="Calibri" w:hAnsi="Calibri"/>
          <w:b/>
          <w:bCs/>
          <w:sz w:val="22"/>
          <w:szCs w:val="22"/>
        </w:rPr>
        <w:t xml:space="preserve">Convención de evidencia: </w:t>
      </w:r>
      <w:r>
        <w:rPr>
          <w:rFonts w:ascii="Calibri" w:cs="Calibri" w:eastAsia="Calibri" w:hAnsi="Calibri"/>
          <w:b/>
          <w:bCs/>
          <w:sz w:val="22"/>
          <w:szCs w:val="22"/>
        </w:rPr>
        <w:t xml:space="preserve">[HECHO]</w:t>
      </w:r>
      <w:r>
        <w:rPr>
          <w:rFonts w:ascii="Calibri" w:cs="Calibri" w:eastAsia="Calibri" w:hAnsi="Calibri"/>
          <w:sz w:val="22"/>
          <w:szCs w:val="22"/>
        </w:rPr>
        <w:t xml:space="preserve"> = decisión ya aprobada por George en DECISIONS.md · </w:t>
      </w:r>
      <w:r>
        <w:rPr>
          <w:rFonts w:ascii="Calibri" w:cs="Calibri" w:eastAsia="Calibri" w:hAnsi="Calibri"/>
          <w:b/>
          <w:bCs/>
          <w:sz w:val="22"/>
          <w:szCs w:val="22"/>
        </w:rPr>
        <w:t xml:space="preserve">[INFERENCIA]</w:t>
      </w:r>
      <w:r>
        <w:rPr>
          <w:rFonts w:ascii="Calibri" w:cs="Calibri" w:eastAsia="Calibri" w:hAnsi="Calibri"/>
          <w:sz w:val="22"/>
          <w:szCs w:val="22"/>
        </w:rPr>
        <w:t xml:space="preserve"> = derivado lógicamente de una decisión aprobada · </w:t>
      </w:r>
      <w:r>
        <w:rPr>
          <w:rFonts w:ascii="Calibri" w:cs="Calibri" w:eastAsia="Calibri" w:hAnsi="Calibri"/>
          <w:b/>
          <w:bCs/>
          <w:sz w:val="22"/>
          <w:szCs w:val="22"/>
        </w:rPr>
        <w:t xml:space="preserve">[HIPÓTESIS]</w:t>
      </w:r>
      <w:r>
        <w:rPr>
          <w:rFonts w:ascii="Calibri" w:cs="Calibri" w:eastAsia="Calibri" w:hAnsi="Calibri"/>
          <w:sz w:val="22"/>
          <w:szCs w:val="22"/>
        </w:rPr>
        <w:t xml:space="preserve"> = elección razonable del equipo de diseño, no validada aún empíricamente · </w:t>
      </w:r>
      <w:r>
        <w:rPr>
          <w:rFonts w:ascii="Calibri" w:cs="Calibri" w:eastAsia="Calibri" w:hAnsi="Calibri"/>
          <w:b/>
          <w:bCs/>
          <w:sz w:val="22"/>
          <w:szCs w:val="22"/>
        </w:rPr>
        <w:t xml:space="preserve">[DESCONOCIDO]</w:t>
      </w:r>
      <w:r>
        <w:rPr>
          <w:rFonts w:ascii="Calibri" w:cs="Calibri" w:eastAsia="Calibri" w:hAnsi="Calibri"/>
          <w:sz w:val="22"/>
          <w:szCs w:val="22"/>
        </w:rPr>
        <w:t xml:space="preserve"> = pendiente de dato piloto.</w:t>
      </w:r>
    </w:p>
    <w:p>
      <w:pPr>
        <w:pStyle w:val="Heading1"/>
        <w:spacing w:after="150" w:before="300"/>
      </w:pPr>
      <w:r>
        <w:t xml:space="preserve">1. Tipología de reactivos</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DECISIONS.md establece que el instrumento usa escalas de opción variable en vez de un único formato Likert fijo, y que el banco cubre 60-80 reactivos. Este marco define 6 tipos estructurales de reactivo, el mínimo pedido en PLAN.md, que se combinan a lo largo de las 20 dimensiones según qué tipo capture mejor cada indicador conductual definido en la Fase 1.</w:t>
      </w:r>
    </w:p>
    <w:p>
      <w:pPr>
        <w:pStyle w:val="Heading2"/>
        <w:spacing w:after="120" w:before="240"/>
      </w:pPr>
      <w:r>
        <w:t xml:space="preserve">Tipo 1 — Opinión / Actitud</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Mide el grado de acuerdo o desacuerdo de la persona con una afirmación general sobre una creencia, norma o actitud relacionada con la dimensión, sin preguntar directamente por conducta propia.</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Racionalizaciones, normas personales internalizadas y actitudes de aceptación o rechazo hacia la conducta deshonesta, independientemente de si la persona reporta haberla ejecutado.</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¿Qué tan de acuerdo estás con la siguiente afirmación: '[afirmación sobre una norma o creencia relacionada con la dimensión]'?</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Escala de acuerdo de 4 a 6 alternativas (ej. Totalmente en desacuerdo → Totalmente de acuerdo), sin punto medio neutro para forzar posicionamiento.</w:t>
      </w:r>
    </w:p>
    <w:p>
      <w:pPr>
        <w:pStyle w:val="Heading2"/>
        <w:spacing w:after="120" w:before="240"/>
      </w:pPr>
      <w:r>
        <w:t xml:space="preserve">Tipo 2 — Percepción de terceros</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Pregunta por la percepción que la persona tiene sobre la frecuencia, gravedad o aceptabilidad de una conducta en su entorno (compañeros, industria, sociedad), en lugar de preguntar por su propia conducta.</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Normas descriptivas percibidas (cuán común cree la persona que es la conducta deshonesta a su alrededor), que la investigación en psicología social vincula con mayor probabilidad de conducta propia futura, y que además reduce la deseabilidad social al no exponer directamente a la persona.</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En tu experiencia, ¿qué tan frecuente dirías que es [conducta relacionada con la dimensión] entre las personas de tu entorno laboral o industria?</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Escala de frecuencia percibida de 4 a 5 alternativas (ej. Nunca → Muy frecuentemente).</w:t>
      </w:r>
    </w:p>
    <w:p>
      <w:pPr>
        <w:pStyle w:val="Heading2"/>
        <w:spacing w:after="120" w:before="240"/>
      </w:pPr>
      <w:r>
        <w:t xml:space="preserve">Tipo 3 — Involucramiento pasado / frecuencia conductual</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Pregunta directamente por la frecuencia con la que la propia persona ha incurrido en una conducta específica relacionada con la dimensión, en un marco temporal definido.</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Historial conductual auto-reportado; es el tipo de reactivo con mayor validez aparente de riesgo directo, y por lo mismo el más sensible a deseabilidad social, por lo que su peso se calibra junto con los indicadores de validez.</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En los últimos [marco temporal, ej. 12 meses / tu historial laboral], ¿cuántas veces has [conducta específica y observable relacionada con el indicador conductual]?</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Escala de frecuencia auto-reportada de 4 a 5 alternativas (ej. Nunca → Muchas veces / casi siempre).</w:t>
      </w:r>
    </w:p>
    <w:p>
      <w:pPr>
        <w:pStyle w:val="Heading2"/>
        <w:spacing w:after="120" w:before="240"/>
      </w:pPr>
      <w:r>
        <w:t xml:space="preserve">Tipo 4 — Escenario / dilema situacional</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Presenta una situación hipotética concreta y pide a la persona que elija o puntúe cómo actuaría, o qué tan aceptable considera cada curso de acción posible dentro del escenario.</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Juicio aplicado en contexto, menos vulnerable a la deseabilidad social que preguntar directamente '¿has hecho X?', porque la persona razona sobre una tercera situación concreta en vez de autoincriminarse explícitamente.</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Imagina la siguiente situación: [descripción breve de un dilema concreto y verosímil relacionado con la dimensión]. ¿Qué tan probable es que tú actuaras de la forma [conducta de riesgo] en esa situación?</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Escala de probabilidad de acción propia de 4 a 6 alternativas, o selección forzada entre 2-3 cursos de acción con distinto nivel de riesgo asignado.</w:t>
      </w:r>
    </w:p>
    <w:p>
      <w:pPr>
        <w:pStyle w:val="Heading2"/>
        <w:spacing w:after="120" w:before="240"/>
      </w:pPr>
      <w:r>
        <w:t xml:space="preserve">Tipo 5 — Comparación de gravedad</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Presenta dos o más conductas o situaciones relacionadas con la dimensión y pide a la persona que las ordene, compare o puntúe según qué tan grave, aceptable o justificable considera cada una.</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La estructura interna del juicio moral de la persona (qué tanto discrimina entre grados de gravedad dentro de una misma dimensión), útil para distinguir a alguien con límites claros de alguien con una escala de gravedad aplanada o distorsionada.</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¿Cuál de las siguientes situaciones te parece más grave: [situación A de menor gravedad relativa] o [situación B de mayor gravedad relativa dentro de la misma dimensión]?</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Selección forzada entre 2-4 alternativas ordenables, o escala de gravedad relativa de 4-5 puntos aplicada a cada situación por separado.</w:t>
      </w:r>
    </w:p>
    <w:p>
      <w:pPr>
        <w:pStyle w:val="Heading2"/>
        <w:spacing w:after="120" w:before="240"/>
      </w:pPr>
      <w:r>
        <w:t xml:space="preserve">Tipo 6 — Intención futura</w:t>
      </w:r>
    </w:p>
    <w:p>
      <w:pPr>
        <w:spacing w:after="100"/>
      </w:pPr>
      <w:r>
        <w:rPr>
          <w:rFonts w:ascii="Calibri" w:cs="Calibri" w:eastAsia="Calibri" w:hAnsi="Calibri"/>
          <w:b/>
          <w:bCs/>
          <w:sz w:val="22"/>
          <w:szCs w:val="22"/>
        </w:rPr>
        <w:t xml:space="preserve">Definición: </w:t>
      </w:r>
      <w:r>
        <w:rPr>
          <w:rFonts w:ascii="Calibri" w:cs="Calibri" w:eastAsia="Calibri" w:hAnsi="Calibri"/>
          <w:sz w:val="22"/>
          <w:szCs w:val="22"/>
        </w:rPr>
        <w:t xml:space="preserve">Pregunta por la disposición o intención declarada de la persona a actuar de una manera determinada en el futuro, ante una oportunidad o presión específica relacionada con la dimensión.</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Intención conductual prospectiva, consistente con el marco de la Teoría de la Acción Razonada/Conducta Planificada, útil específicamente para candidatos sin historial laboral previo donde los reactivos de tipo 3 (involucramiento pasado) tienen menor aplicabilidad.</w:t>
      </w:r>
    </w:p>
    <w:p>
      <w:pPr>
        <w:spacing w:after="100"/>
      </w:pPr>
      <w:r>
        <w:rPr>
          <w:rFonts w:ascii="Calibri" w:cs="Calibri" w:eastAsia="Calibri" w:hAnsi="Calibri"/>
          <w:b/>
          <w:bCs/>
          <w:sz w:val="22"/>
          <w:szCs w:val="22"/>
        </w:rPr>
        <w:t xml:space="preserve">Plantilla estructural: </w:t>
      </w:r>
      <w:r>
        <w:rPr>
          <w:rFonts w:ascii="Calibri" w:cs="Calibri" w:eastAsia="Calibri" w:hAnsi="Calibri"/>
          <w:sz w:val="22"/>
          <w:szCs w:val="22"/>
        </w:rPr>
        <w:t xml:space="preserve">Si en el futuro te encontraras en una situación donde [oportunidad o presión concreta relacionada con la dimensión] y supieras que nadie más se enteraría, ¿qué tan probable es que [conducta de riesgo]?</w:t>
      </w:r>
    </w:p>
    <w:p>
      <w:pPr>
        <w:spacing w:after="100"/>
      </w:pPr>
      <w:r>
        <w:rPr>
          <w:rFonts w:ascii="Calibri" w:cs="Calibri" w:eastAsia="Calibri" w:hAnsi="Calibri"/>
          <w:b/>
          <w:bCs/>
          <w:sz w:val="22"/>
          <w:szCs w:val="22"/>
        </w:rPr>
        <w:t xml:space="preserve">Formato de respuesta: </w:t>
      </w:r>
      <w:r>
        <w:rPr>
          <w:rFonts w:ascii="Calibri" w:cs="Calibri" w:eastAsia="Calibri" w:hAnsi="Calibri"/>
          <w:sz w:val="22"/>
          <w:szCs w:val="22"/>
        </w:rPr>
        <w:t xml:space="preserve">Escala de probabilidad declarada de 4 a 6 alternativas (ej. Nada probable → Muy probable).</w:t>
      </w:r>
    </w:p>
    <w:p>
      <w:pPr>
        <w:spacing w:after="140"/>
      </w:pPr>
      <w:r>
        <w:rPr>
          <w:rFonts w:ascii="Calibri" w:cs="Calibri" w:eastAsia="Calibri" w:hAnsi="Calibri"/>
          <w:sz w:val="22"/>
          <w:szCs w:val="22"/>
        </w:rPr>
        <w:t xml:space="preserve">[INFERENCIA] Cada dimensión del listado de la Fase 1 debe estar cubierta por al menos 2 tipos de reactivo distintos entre sus 3-4 ítems asignados, para evitar que el puntaje de una dimensión dependa de un único formato de pregunta y reducir el riesgo de que un patrón de respuesta mecánico (p. ej. elegir siempre la opción central) distorsione el resultado de esa dimensión completa.</w:t>
      </w:r>
    </w:p>
    <w:p>
      <w:pPr>
        <w:pStyle w:val="Heading1"/>
        <w:spacing w:after="150" w:before="300"/>
      </w:pPr>
      <w:r>
        <w:t xml:space="preserve">2. Escala de opción variable frente a Likert fijo</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El uso de una escala de opción variable (2 a 6 alternativas según el reactivo) en vez de un Likert fijo de 5 puntos para todos los ítems es una decisión ya aprobada en DECISIONS.md, replicando la filosofía de diseño identificada en el instrumento de referencia, pero con tabla de valores propia y documentada.</w:t>
      </w:r>
    </w:p>
    <w:p>
      <w:pPr>
        <w:spacing w:after="140"/>
      </w:pPr>
      <w:r>
        <w:rPr>
          <w:rFonts w:ascii="Calibri" w:cs="Calibri" w:eastAsia="Calibri" w:hAnsi="Calibri"/>
          <w:sz w:val="22"/>
          <w:szCs w:val="22"/>
        </w:rPr>
        <w:t xml:space="preserve">Justificación de diseño:</w:t>
      </w:r>
    </w:p>
    <w:p>
      <w:pPr>
        <w:pStyle w:val="ListParagraph"/>
        <w:numPr>
          <w:ilvl w:val="0"/>
          <w:numId w:val="2"/>
        </w:numPr>
        <w:spacing w:after="80"/>
      </w:pPr>
      <w:r>
        <w:rPr>
          <w:rFonts w:ascii="Calibri" w:cs="Calibri" w:eastAsia="Calibri" w:hAnsi="Calibri"/>
          <w:sz w:val="22"/>
          <w:szCs w:val="22"/>
        </w:rPr>
        <w:t xml:space="preserve">Ajuste al contenido del reactivo: un reactivo de tipo Escenario/dilema o Comparación de gravedad se responde mejor con una selección forzada de 2-4 alternativas cualitativamente distintas que con un acuerdo/desacuerdo de 5 puntos, que fuerza una equivalencia artificial entre opciones que no son puntos de una misma recta.</w:t>
      </w:r>
    </w:p>
    <w:p>
      <w:pPr>
        <w:pStyle w:val="ListParagraph"/>
        <w:numPr>
          <w:ilvl w:val="0"/>
          <w:numId w:val="2"/>
        </w:numPr>
        <w:spacing w:after="80"/>
      </w:pPr>
      <w:r>
        <w:rPr>
          <w:rFonts w:ascii="Calibri" w:cs="Calibri" w:eastAsia="Calibri" w:hAnsi="Calibri"/>
          <w:sz w:val="22"/>
          <w:szCs w:val="22"/>
        </w:rPr>
        <w:t xml:space="preserve">Reducción de la respuesta mecánica: variar el número y la naturaleza de las alternativas entre reactivos dificulta que una persona resuelva el test con un patrón de respuesta automático (p. ej. 'siempre la tercera opción'), lo que fortalece la sensibilidad de los indicadores de validez de Azarosidad y Aquiescencia definidos en la Sección 5.</w:t>
      </w:r>
    </w:p>
    <w:p>
      <w:pPr>
        <w:pStyle w:val="ListParagraph"/>
        <w:numPr>
          <w:ilvl w:val="0"/>
          <w:numId w:val="2"/>
        </w:numPr>
        <w:spacing w:after="80"/>
      </w:pPr>
      <w:r>
        <w:rPr>
          <w:rFonts w:ascii="Calibri" w:cs="Calibri" w:eastAsia="Calibri" w:hAnsi="Calibri"/>
          <w:sz w:val="22"/>
          <w:szCs w:val="22"/>
        </w:rPr>
        <w:t xml:space="preserve">Precisión de la asignación de valor psicométrico: al no forzar 5 alternativas equiespaciadas, cada opción de cada reactivo recibe un valor propio en la matriz de scoring (Fase 6) calibrado según su distancia conceptual real al polo de mayor riesgo, en vez de asumir una distancia numérica uniforme entre categorías.</w:t>
      </w:r>
    </w:p>
    <w:p>
      <w:pPr>
        <w:pStyle w:val="ListParagraph"/>
        <w:numPr>
          <w:ilvl w:val="0"/>
          <w:numId w:val="2"/>
        </w:numPr>
        <w:spacing w:after="80"/>
      </w:pPr>
      <w:r>
        <w:rPr>
          <w:rFonts w:ascii="Calibri" w:cs="Calibri" w:eastAsia="Calibri" w:hAnsi="Calibri"/>
          <w:sz w:val="22"/>
          <w:szCs w:val="22"/>
        </w:rPr>
        <w:t xml:space="preserve">Compatibilidad con migración futura a TRI/IRT: mantener el número de alternativas y su valor documentados por reactivo (en vez de un Likert homogéneo) es el formato de entrada estándar para un análisis de Teoría de Respuesta al Ítem de tipo politómico (p. ej. modelo de crédito parcial o de escala gradual) cuando exista muestra piloto suficiente, conforme a lo previsto en DECISIONS.md punto 2.</w:t>
      </w:r>
    </w:p>
    <w:p>
      <w:pPr>
        <w:spacing w:after="140"/>
      </w:pPr>
      <w:r>
        <w:rPr>
          <w:rFonts w:ascii="Calibri" w:cs="Calibri" w:eastAsia="Calibri" w:hAnsi="Calibri"/>
          <w:sz w:val="22"/>
          <w:szCs w:val="22"/>
        </w:rPr>
        <w:t xml:space="preserve">[HIPÓTESIS] Rango operativo por tipo de reactivo (sujeto a ajuste fino en la redacción de cada ítem en las Fases 3-5):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Tipo de reactivo</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Nº de alternativas típico</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Razón</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Opinión / Actitud</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4-6</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Escala de acuerdo sin punto medio, fuerza posicionamiento</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Percepción de terceros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4-5</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Escala de frecuencia percibida</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Involucramiento pasado</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4-5</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Escala de frecuencia auto-reportada</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Escenario / dilema</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2-4</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Cursos de acción cualitativamente distintos, no equiespaciados</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Comparación de gravedad</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2-4</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Selección forzada u ordenamiento</w:t>
            </w:r>
          </w:p>
        </w:tc>
      </w:tr>
      <w:tr>
        <w:tc>
          <w:tcPr>
            <w:tcW w:type="dxa" w:w="3350"/>
            <w:tcMar>
              <w:top w:type="dxa" w:w="80"/>
              <w:left w:type="dxa" w:w="100"/>
              <w:bottom w:type="dxa" w:w="80"/>
              <w:right w:type="dxa" w:w="100"/>
            </w:tcMar>
          </w:tcPr>
          <w:p>
            <w:r>
              <w:rPr>
                <w:rFonts w:ascii="Calibri" w:cs="Calibri" w:eastAsia="Calibri" w:hAnsi="Calibri"/>
                <w:b w:val="false"/>
                <w:bCs w:val="false"/>
                <w:sz w:val="20"/>
                <w:szCs w:val="20"/>
              </w:rPr>
              <w:t xml:space="preserve">Intención futura</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4-6</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Escala de probabilidad declarada</w:t>
            </w:r>
          </w:p>
        </w:tc>
      </w:tr>
    </w:tbl>
    <w:p>
      <w:pPr>
        <w:spacing w:after="200"/>
      </w:pPr>
    </w:p>
    <w:p>
      <w:pPr>
        <w:pStyle w:val="Heading1"/>
        <w:spacing w:after="150" w:before="300"/>
      </w:pPr>
      <w:r>
        <w:t xml:space="preserve">3. Reglas de direccionalidad: reactivos directos e inversos</w:t>
      </w:r>
    </w:p>
    <w:p>
      <w:pPr>
        <w:spacing w:after="140"/>
      </w:pPr>
      <w:r>
        <w:rPr>
          <w:rFonts w:ascii="Calibri" w:cs="Calibri" w:eastAsia="Calibri" w:hAnsi="Calibri"/>
          <w:sz w:val="22"/>
          <w:szCs w:val="22"/>
        </w:rPr>
        <w:t xml:space="preserve">[INFERENCIA] Se define reactivo directo como aquel en el que la alternativa asociada a mayor riesgo de deshonestidad recibe el valor numérico más alto en la escala cruda de respuesta (antes de cualquier transformación), y reactivo inverso como aquel en el que la alternativa de mayor riesgo recibe el valor numérico más bajo en esa misma escala cruda, de modo que su puntaje debe invertirse matemáticamente antes de sumarse a la dimensión (ver fórmula completa en Fase 6).</w:t>
      </w:r>
    </w:p>
    <w:p>
      <w:pPr>
        <w:spacing w:after="100"/>
      </w:pPr>
      <w:r>
        <w:rPr>
          <w:rFonts w:ascii="Calibri" w:cs="Calibri" w:eastAsia="Calibri" w:hAnsi="Calibri"/>
          <w:b/>
          <w:bCs/>
          <w:sz w:val="22"/>
          <w:szCs w:val="22"/>
        </w:rPr>
        <w:t xml:space="preserve">Reglas de aplicación:</w:t>
      </w:r>
    </w:p>
    <w:p>
      <w:pPr>
        <w:pStyle w:val="ListParagraph"/>
        <w:numPr>
          <w:ilvl w:val="0"/>
          <w:numId w:val="2"/>
        </w:numPr>
        <w:spacing w:after="80"/>
      </w:pPr>
      <w:r>
        <w:rPr>
          <w:rFonts w:ascii="Calibri" w:cs="Calibri" w:eastAsia="Calibri" w:hAnsi="Calibri"/>
          <w:sz w:val="22"/>
          <w:szCs w:val="22"/>
        </w:rPr>
        <w:t xml:space="preserve">Toda dimensión de la familia Integridad Nuclear debe incluir al menos un reactivo inverso entre sus 3-4 ítems, para poder calcular el indicador de validez de Aquiescencia (Sección 5) comparando la consistencia de respuesta entre ítems directos e inversos de la misma dimensión.</w:t>
      </w:r>
    </w:p>
    <w:p>
      <w:pPr>
        <w:pStyle w:val="ListParagraph"/>
        <w:numPr>
          <w:ilvl w:val="0"/>
          <w:numId w:val="2"/>
        </w:numPr>
        <w:spacing w:after="80"/>
      </w:pPr>
      <w:r>
        <w:rPr>
          <w:rFonts w:ascii="Calibri" w:cs="Calibri" w:eastAsia="Calibri" w:hAnsi="Calibri"/>
          <w:sz w:val="22"/>
          <w:szCs w:val="22"/>
        </w:rPr>
        <w:t xml:space="preserve">Un reactivo se redacta como inverso formulando la alternativa de menor riesgo (la conducta íntegra) como el extremo que requiere mayor acuerdo o mayor frecuencia declarada, y no simplemente negando gramaticalmente un reactivo directo (evitar dobles negaciones que confunden la lectura).</w:t>
      </w:r>
    </w:p>
    <w:p>
      <w:pPr>
        <w:pStyle w:val="ListParagraph"/>
        <w:numPr>
          <w:ilvl w:val="0"/>
          <w:numId w:val="2"/>
        </w:numPr>
        <w:spacing w:after="80"/>
      </w:pPr>
      <w:r>
        <w:rPr>
          <w:rFonts w:ascii="Calibri" w:cs="Calibri" w:eastAsia="Calibri" w:hAnsi="Calibri"/>
          <w:sz w:val="22"/>
          <w:szCs w:val="22"/>
        </w:rPr>
        <w:t xml:space="preserve">La dirección de cada reactivo (directo/inverso) y el valor asignado a cada alternativa se documentan de forma explícita en la matriz de scoring de la Fase 6; ningún reactivo puede aplicarse sin esa documentación.</w:t>
      </w:r>
    </w:p>
    <w:p>
      <w:pPr>
        <w:pStyle w:val="ListParagraph"/>
        <w:numPr>
          <w:ilvl w:val="0"/>
          <w:numId w:val="2"/>
        </w:numPr>
        <w:spacing w:after="80"/>
      </w:pPr>
      <w:r>
        <w:rPr>
          <w:rFonts w:ascii="Calibri" w:cs="Calibri" w:eastAsia="Calibri" w:hAnsi="Calibri"/>
          <w:sz w:val="22"/>
          <w:szCs w:val="22"/>
        </w:rPr>
        <w:t xml:space="preserve">Los reactivos de tipo Percepción de terceros y Comparación de gravedad se tratan por defecto como directos, dado que su escala mide frecuencia o gravedad percibida de forma naturalmente creciente; los reactivos de tipo Opinión e Intención futura son los candidatos preferentes para redactarse en versión inversa, por permitir formular con naturalidad tanto la afirmación de riesgo como la afirmación de integridad.</w:t>
      </w:r>
    </w:p>
    <w:p>
      <w:pPr>
        <w:pStyle w:val="Heading1"/>
        <w:spacing w:after="150" w:before="300"/>
      </w:pPr>
      <w:r>
        <w:t xml:space="preserve">4. Reactivos espejo y consistencia interna por dimensión</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PLAN.md exige un mínimo de 1 par de reactivos espejo por cada dimensión de la familia Integridad Nuclear (12 dimensiones, ver Fase 1). Un par espejo se define aquí como dos reactivos de tipos estructurales distintos que abordan el mismo indicador conductual o un indicador estrechamente relacionado dentro de la misma dimensión, redactados desde ángulos diferentes (actitud vs. conducta reportada, principio abstracto vs. caso aplicado, pasado vs. futuro) para que una persona sin intención de disimular responda en la misma dirección de riesgo en ambos, mientras que una respuesta manejada estratégicamente tiende a generar una divergencia detectable.</w:t>
      </w:r>
    </w:p>
    <w:p>
      <w:pPr>
        <w:spacing w:after="140"/>
      </w:pPr>
      <w:r>
        <w:rPr>
          <w:rFonts w:ascii="Calibri" w:cs="Calibri" w:eastAsia="Calibri" w:hAnsi="Calibri"/>
          <w:sz w:val="22"/>
          <w:szCs w:val="22"/>
        </w:rPr>
        <w:t xml:space="preserve">[INFERENCIA] Un par espejo nunca se construye repitiendo la misma pregunta con sinónimos (lo que solo mediría memoria de respuesta), sino combinando dos tipos de reactivo de la tipología de la Sección 1 que aborden el mismo constructo desde ángulos distintos, según el diseño específico por dimensión que se detalla a continuación. Estos pares se redactarán como reactivos concretos en las Fases 3 y 5, según a qué tercio del banco pertenezca cada dimensión.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Dimensión (Integridad Nuclear)</w:t>
            </w:r>
          </w:p>
        </w:tc>
        <w:tc>
          <w:tcPr>
            <w:tcW w:type="dxa" w:w="34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Diseño del par espejo (tipos combinados)</w:t>
            </w:r>
          </w:p>
        </w:tc>
        <w:tc>
          <w:tcPr>
            <w:tcW w:type="dxa" w:w="3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Regla de consistencia esperada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 Respeto a la Propiedad Ajena</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3 (involucramiento pasado, marco temporal 'último año') + Tipo 1 (opinión sobre justificación de sustracción de bajo valor)</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Alta coherencia esperada: quien reporta baja frecuencia de sustracción pasada debería mostrar baja aceptación actitudinal de su justificación; una combinación de 'nunca lo he hecho' + 'me parece muy aceptable hacerlo' se marca como contradicción.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2. Integridad Transaccional</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4 (escenario con oferta de regalo de proveedor) + Tipo 6 (intención futura ante oferta similar sin testigos)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El curso de acción elegido en el escenario y la intención declarada ante una oportunidad futura equivalente deben apuntar en la misma dirección de riesgo.</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3. Coherencia Declarativa</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la importancia de no omitir información desfavorable) + Tipo 3 (frecuencia con que reporta haber omitido información relevante)</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Es la dimensión donde el par espejo cumple una función doble: mide la dimensión y sirve de referencia estructural para el indicador de validez de Contradicción en el resto del banco.</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4. Compromiso Ético Organizacional</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hablar mal de un empleador ante terceros) + Tipo 6 (intención futura de dañar activamente a la organización tras un desacuerdo)</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Una persona que rechaza fuertemente la afirmación de opinión pero declara alta intención de daño futuro genera una contradicción marcada para revisión cualitativa.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5. Respeto a la Autonomía Sexual Laboral</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uso de posición de autoridad para buscar cercanía romántica) + Tipo 4 (escenario de insinuación no solicitada desde una posición de poder)</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El escenario obliga a aplicar el principio a un caso concreto; una divergencia entre el rechazo abstracto y la aceptación del caso aplicado es indicador de deseabilidad social o de doble estándar.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6. Uso Ético del Poder Interpersonal</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3 (frecuencia de presión sostenida ejercida sobre un subordinado o compañero) + Tipo 5 (comparación de gravedad entre distintas formas de presión laboral)</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Permite verificar si la persona reconoce como grave la misma conducta que, en el reactivo 3, reporta haber ejercido con cierta frecuencia.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7. Equidad de Trato Interpersonal</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justificación de decisiones basadas en rasgos no laborales) + Tipo 4 (escenario de decisión de contratación/promoción con esa variable presente)</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Aísla la brecha frecuente entre el rechazo declarado a la discriminación en abstracto y su aplicación concreta en una decisión con presión de resultado.</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8. Responsabilización por Resultados</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3 (frecuencia de atribución externa ante errores propios recientes) + Tipo 6 (intención futura de comunicar proactivamente un error antes de ser detectado)</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Una persona con alta atribución externa pasada y alta intención futura de transparencia declarada genera una contradicción relevante para el indicador de Aquiescencia/deseabilidad social.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9. Integridad Documental e Informativa</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4 (escenario de reporte con cifra desfavorable) + Tipo 3 (frecuencia de haber alterado u omitido información en documentos laborales)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El par espejo cubre tanto la proyección hipotética como el auto-reporte retrospectivo de la misma familia de conducta.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10. Distanciamiento de Redes de Ilegalidad</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la gravedad de asociarse con actividad ilícita si es conveniente) + Tipo 6 (intención futura de mantener una relación de negocio conveniente con alguien vinculado a actividad ilegal conocida)</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Verifica si el rechazo declarado en abstracto se sostiene cuando se introduce un incentivo concreto de conveniencia personal.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18. Conflicto de Interés</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1 (opinión sobre la obligación de declarar relaciones personales con proveedores) + Tipo 4 (escenario donde debe decidir sobre una persona/empresa vinculada a un interés personal no declarado)</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La brecha típica en esta dimensión es reconocer la norma en abstracto y no aplicarla cuando el conflicto es propio; el par espejo está diseñado específicamente para exponer esa brecha.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19. Uso Indebido de Recursos No Físicos</w:t>
            </w:r>
          </w:p>
        </w:tc>
        <w:tc>
          <w:tcPr>
            <w:tcW w:type="dxa" w:w="3450"/>
            <w:tcMar>
              <w:top w:type="dxa" w:w="80"/>
              <w:left w:type="dxa" w:w="100"/>
              <w:bottom w:type="dxa" w:w="80"/>
              <w:right w:type="dxa" w:w="100"/>
            </w:tcMar>
          </w:tcPr>
          <w:p>
            <w:r>
              <w:rPr>
                <w:rFonts w:ascii="Calibri" w:cs="Calibri" w:eastAsia="Calibri" w:hAnsi="Calibri"/>
                <w:b w:val="false"/>
                <w:bCs w:val="false"/>
                <w:sz w:val="20"/>
                <w:szCs w:val="20"/>
              </w:rPr>
              <w:t xml:space="preserve">Tipo 3 (frecuencia de uso de accesos digitales de la organización para fines personales) + Tipo 5 (comparación de gravedad entre uso indebido de tiempo laboral, datos y activos digitales)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Permite calibrar si la persona minimiza la gravedad de la misma familia de conducta que reporta haber ejercido con cierta frecuencia.</w:t>
            </w:r>
          </w:p>
        </w:tc>
      </w:tr>
    </w:tbl>
    <w:p>
      <w:pPr>
        <w:spacing w:after="200"/>
      </w:pPr>
    </w:p>
    <w:p>
      <w:pPr>
        <w:spacing w:after="140"/>
      </w:pPr>
      <w:r>
        <w:rPr>
          <w:rFonts w:ascii="Calibri" w:cs="Calibri" w:eastAsia="Calibri" w:hAnsi="Calibri"/>
          <w:sz w:val="22"/>
          <w:szCs w:val="22"/>
        </w:rPr>
        <w:t xml:space="preserve">[HIPÓTESIS] Regla general de tolerancia: se considera 'contradicción' cuando las respuestas al par espejo de una dimensión caen en polos opuestos de sus respectivas escalas (p. ej. extremo de bajo riesgo en un ítem y extremo de alto riesgo en el otro); una divergencia moderada de un solo escalón no se cuenta como contradicción, para evitar penalizar matices legítimos de respuesta. El umbral exacto se calibra empíricamente en la Fase 9 con datos piloto.</w:t>
      </w:r>
    </w:p>
    <w:p>
      <w:pPr>
        <w:pStyle w:val="Heading1"/>
        <w:spacing w:after="150" w:before="300"/>
      </w:pPr>
      <w:r>
        <w:t xml:space="preserve">5. Indicadores de validez del protocolo</w:t>
      </w:r>
    </w:p>
    <w:p>
      <w:pPr>
        <w:spacing w:after="140"/>
      </w:pPr>
      <w:r>
        <w:rPr>
          <w:rFonts w:ascii="Calibri" w:cs="Calibri" w:eastAsia="Calibri" w:hAnsi="Calibri"/>
          <w:sz w:val="22"/>
          <w:szCs w:val="22"/>
        </w:rPr>
        <w:t xml:space="preserve">[INFERENCIA] El instrumento incorpora 4 indicadores de validez transversales, no atribuibles a ninguna dimensión de contenido, cuyo propósito es evaluar la calidad del proceso de respuesta en sí mismo, de forma conceptualmente equivalente a los mecanismos de control de calidad de respuesta identificados en el análisis de la Fase 2 sobre el instrumento de referencia, pero diseñados aquí con mecánica y reglas propias.</w:t>
      </w:r>
    </w:p>
    <w:p>
      <w:pPr>
        <w:pStyle w:val="Heading2"/>
        <w:spacing w:after="120" w:before="240"/>
      </w:pPr>
      <w:r>
        <w:t xml:space="preserve">5.1 Azarosidad (respuesta al azar / sin atención)</w:t>
      </w:r>
    </w:p>
    <w:p>
      <w:pPr>
        <w:spacing w:after="100"/>
      </w:pPr>
      <w:r>
        <w:rPr>
          <w:rFonts w:ascii="Calibri" w:cs="Calibri" w:eastAsia="Calibri" w:hAnsi="Calibri"/>
          <w:b/>
          <w:bCs/>
          <w:sz w:val="22"/>
          <w:szCs w:val="22"/>
        </w:rPr>
        <w:t xml:space="preserve">Mecanismo: </w:t>
      </w:r>
      <w:r>
        <w:rPr>
          <w:rFonts w:ascii="Calibri" w:cs="Calibri" w:eastAsia="Calibri" w:hAnsi="Calibri"/>
          <w:sz w:val="22"/>
          <w:szCs w:val="22"/>
        </w:rPr>
        <w:t xml:space="preserve">Se insertan 3-4 reactivos de control distribuidos a lo largo del test, con instrucción explícita embebida en el enunciado (p. ej. 'Para confirmar que estás leyendo con atención, selecciona la segunda opción en este reactivo'), indistinguibles en formato de un reactivo real.</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Respuesta mecánica, apurada o sin lectura efectiva del contenido, independientemente del contenido sustantivo de las demás dimensiones.</w:t>
      </w:r>
    </w:p>
    <w:p>
      <w:pPr>
        <w:spacing w:after="100"/>
      </w:pPr>
      <w:r>
        <w:rPr>
          <w:rFonts w:ascii="Calibri" w:cs="Calibri" w:eastAsia="Calibri" w:hAnsi="Calibri"/>
          <w:b/>
          <w:bCs/>
          <w:sz w:val="22"/>
          <w:szCs w:val="22"/>
        </w:rPr>
        <w:t xml:space="preserve">Regla de invalidación: </w:t>
      </w:r>
      <w:r>
        <w:rPr>
          <w:rFonts w:ascii="Calibri" w:cs="Calibri" w:eastAsia="Calibri" w:hAnsi="Calibri"/>
          <w:sz w:val="22"/>
          <w:szCs w:val="22"/>
        </w:rPr>
        <w:t xml:space="preserve">[HIPÓTESIS] Fallar 1 de los reactivos de control genera una alerta interna sin invalidar el resultado; fallar 2 o más se marca como invalidación total del protocolo, dado que compromete la interpretabilidad de todas las dimensiones por igual, no solo de una.</w:t>
      </w:r>
    </w:p>
    <w:p>
      <w:pPr>
        <w:pStyle w:val="Heading2"/>
        <w:spacing w:after="120" w:before="240"/>
      </w:pPr>
      <w:r>
        <w:t xml:space="preserve">5.2 Omisión (no respuesta)</w:t>
      </w:r>
    </w:p>
    <w:p>
      <w:pPr>
        <w:spacing w:after="100"/>
      </w:pPr>
      <w:r>
        <w:rPr>
          <w:rFonts w:ascii="Calibri" w:cs="Calibri" w:eastAsia="Calibri" w:hAnsi="Calibri"/>
          <w:b/>
          <w:bCs/>
          <w:sz w:val="22"/>
          <w:szCs w:val="22"/>
        </w:rPr>
        <w:t xml:space="preserve">Mecanismo: </w:t>
      </w:r>
      <w:r>
        <w:rPr>
          <w:rFonts w:ascii="Calibri" w:cs="Calibri" w:eastAsia="Calibri" w:hAnsi="Calibri"/>
          <w:sz w:val="22"/>
          <w:szCs w:val="22"/>
        </w:rPr>
        <w:t xml:space="preserve">Se registra la proporción de reactivos no respondidos, tanto a nivel de cada dimensión como del test completo.</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Evitación selectiva de contenido incómodo (omisión concentrada en una dimensión específica) o desconexión general del proceso (omisión distribuida en todo el test).</w:t>
      </w:r>
    </w:p>
    <w:p>
      <w:pPr>
        <w:spacing w:after="100"/>
      </w:pPr>
      <w:r>
        <w:rPr>
          <w:rFonts w:ascii="Calibri" w:cs="Calibri" w:eastAsia="Calibri" w:hAnsi="Calibri"/>
          <w:b/>
          <w:bCs/>
          <w:sz w:val="22"/>
          <w:szCs w:val="22"/>
        </w:rPr>
        <w:t xml:space="preserve">Regla de invalidación: </w:t>
      </w:r>
      <w:r>
        <w:rPr>
          <w:rFonts w:ascii="Calibri" w:cs="Calibri" w:eastAsia="Calibri" w:hAnsi="Calibri"/>
          <w:sz w:val="22"/>
          <w:szCs w:val="22"/>
        </w:rPr>
        <w:t xml:space="preserve">[HIPÓTESIS] Omisión superior al 25% de los reactivos de una misma dimensión invalida parcialmente esa dimensión (se reporta como 'no concluyente', sin promediarse en el índice general); omisión superior al 15% del total de reactivos del test invalida el protocolo completo.</w:t>
      </w:r>
    </w:p>
    <w:p>
      <w:pPr>
        <w:pStyle w:val="Heading2"/>
        <w:spacing w:after="120" w:before="240"/>
      </w:pPr>
      <w:r>
        <w:t xml:space="preserve">5.3 Aquiescencia (tendencia a responder en la misma dirección sin importar el contenido)</w:t>
      </w:r>
    </w:p>
    <w:p>
      <w:pPr>
        <w:spacing w:after="100"/>
      </w:pPr>
      <w:r>
        <w:rPr>
          <w:rFonts w:ascii="Calibri" w:cs="Calibri" w:eastAsia="Calibri" w:hAnsi="Calibri"/>
          <w:b/>
          <w:bCs/>
          <w:sz w:val="22"/>
          <w:szCs w:val="22"/>
        </w:rPr>
        <w:t xml:space="preserve">Mecanismo: </w:t>
      </w:r>
      <w:r>
        <w:rPr>
          <w:rFonts w:ascii="Calibri" w:cs="Calibri" w:eastAsia="Calibri" w:hAnsi="Calibri"/>
          <w:sz w:val="22"/>
          <w:szCs w:val="22"/>
        </w:rPr>
        <w:t xml:space="preserve">Se compara el patrón de respuesta entre los reactivos directos e inversos de una misma dimensión (ver Sección 3); una persona con aquiescencia alta tiende a marcar sistemáticamente el extremo de acuerdo o el extremo de mayor frecuencia en ambos tipos, lo cual es matemáticamente inconsistente dentro de una misma dimensión bien construida.</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Estilo de respuesta (responder 'de acuerdo' o el valor más alto de la escala casi sin variación) que distorsiona el contenido sustantivo, distinto de un patrón de deshonestidad genuino.</w:t>
      </w:r>
    </w:p>
    <w:p>
      <w:pPr>
        <w:spacing w:after="100"/>
      </w:pPr>
      <w:r>
        <w:rPr>
          <w:rFonts w:ascii="Calibri" w:cs="Calibri" w:eastAsia="Calibri" w:hAnsi="Calibri"/>
          <w:b/>
          <w:bCs/>
          <w:sz w:val="22"/>
          <w:szCs w:val="22"/>
        </w:rPr>
        <w:t xml:space="preserve">Regla de invalidación: </w:t>
      </w:r>
      <w:r>
        <w:rPr>
          <w:rFonts w:ascii="Calibri" w:cs="Calibri" w:eastAsia="Calibri" w:hAnsi="Calibri"/>
          <w:sz w:val="22"/>
          <w:szCs w:val="22"/>
        </w:rPr>
        <w:t xml:space="preserve">[HIPÓTESIS] Un patrón de aquiescencia detectado en 2 o más dimensiones invalida parcialmente esas dimensiones específicas; un patrón sostenido en 5 o más dimensiones (una cuarta parte del instrumento) invalida el protocolo completo.</w:t>
      </w:r>
    </w:p>
    <w:p>
      <w:pPr>
        <w:pStyle w:val="Heading2"/>
        <w:spacing w:after="120" w:before="240"/>
      </w:pPr>
      <w:r>
        <w:t xml:space="preserve">5.4 Contradicción (inconsistencia entre reactivos espejo)</w:t>
      </w:r>
    </w:p>
    <w:p>
      <w:pPr>
        <w:spacing w:after="100"/>
      </w:pPr>
      <w:r>
        <w:rPr>
          <w:rFonts w:ascii="Calibri" w:cs="Calibri" w:eastAsia="Calibri" w:hAnsi="Calibri"/>
          <w:b/>
          <w:bCs/>
          <w:sz w:val="22"/>
          <w:szCs w:val="22"/>
        </w:rPr>
        <w:t xml:space="preserve">Mecanismo: </w:t>
      </w:r>
      <w:r>
        <w:rPr>
          <w:rFonts w:ascii="Calibri" w:cs="Calibri" w:eastAsia="Calibri" w:hAnsi="Calibri"/>
          <w:sz w:val="22"/>
          <w:szCs w:val="22"/>
        </w:rPr>
        <w:t xml:space="preserve">Se cuenta el número de pares espejo (Sección 4) cuya respuesta cae en polos opuestos según la regla de tolerancia definida en esa sección.</w:t>
      </w:r>
    </w:p>
    <w:p>
      <w:pPr>
        <w:spacing w:after="100"/>
      </w:pPr>
      <w:r>
        <w:rPr>
          <w:rFonts w:ascii="Calibri" w:cs="Calibri" w:eastAsia="Calibri" w:hAnsi="Calibri"/>
          <w:b/>
          <w:bCs/>
          <w:sz w:val="22"/>
          <w:szCs w:val="22"/>
        </w:rPr>
        <w:t xml:space="preserve">Qué detecta: </w:t>
      </w:r>
      <w:r>
        <w:rPr>
          <w:rFonts w:ascii="Calibri" w:cs="Calibri" w:eastAsia="Calibri" w:hAnsi="Calibri"/>
          <w:sz w:val="22"/>
          <w:szCs w:val="22"/>
        </w:rPr>
        <w:t xml:space="preserve">Manejo estratégico de la impresión (la persona ajusta su respuesta según el ángulo desde el que se le pregunta lo mismo) o, alternativamente, baja comprensión lectora del reactivo; ambas hipótesis se documentan como alternativas a explorar en el reporte cualitativo, no se asume automáticamente mala fe.</w:t>
      </w:r>
    </w:p>
    <w:p>
      <w:pPr>
        <w:spacing w:after="100"/>
      </w:pPr>
      <w:r>
        <w:rPr>
          <w:rFonts w:ascii="Calibri" w:cs="Calibri" w:eastAsia="Calibri" w:hAnsi="Calibri"/>
          <w:b/>
          <w:bCs/>
          <w:sz w:val="22"/>
          <w:szCs w:val="22"/>
        </w:rPr>
        <w:t xml:space="preserve">Regla de invalidación: </w:t>
      </w:r>
      <w:r>
        <w:rPr>
          <w:rFonts w:ascii="Calibri" w:cs="Calibri" w:eastAsia="Calibri" w:hAnsi="Calibri"/>
          <w:sz w:val="22"/>
          <w:szCs w:val="22"/>
        </w:rPr>
        <w:t xml:space="preserve">[HIPÓTESIS] 1 contradicción detectada en el par espejo de una dimensión invalida parcialmente esa dimensión (se reporta con nota de baja confiabilidad); 3 o más contradicciones distribuidas en distintas dimensiones invalidan el protocolo completo.</w:t>
      </w:r>
    </w:p>
    <w:p>
      <w:pPr>
        <w:pStyle w:val="Heading2"/>
        <w:spacing w:after="120" w:before="240"/>
      </w:pPr>
      <w:r>
        <w:t xml:space="preserve">5.5 Regla general de invalidación parcial vs. total</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PLAN.md exige una regla de invalidación parcial (una dimensión) frente a invalidación total (todo el test), inspirada conceptualmente en la lógica confirmada para el instrumento de referencia, pero formulada aquí como regla propia.</w:t>
      </w:r>
    </w:p>
    <w:p>
      <w:pPr>
        <w:pStyle w:val="ListParagraph"/>
        <w:numPr>
          <w:ilvl w:val="0"/>
          <w:numId w:val="2"/>
        </w:numPr>
        <w:spacing w:after="80"/>
      </w:pPr>
      <w:r>
        <w:rPr>
          <w:rFonts w:ascii="Calibri" w:cs="Calibri" w:eastAsia="Calibri" w:hAnsi="Calibri"/>
          <w:sz w:val="22"/>
          <w:szCs w:val="22"/>
        </w:rPr>
        <w:t xml:space="preserve">Invalidación parcial: afecta únicamente a la(s) dimensión(es) donde se detectó el problema de validez; esa dimensión se reporta como 'no concluyente' y se excluye del cálculo del índice general de esa aplicación específica, dejando constancia expresa en el reporte de salida (tanto en la capa individual como en la empresarial, ver Fase 7).</w:t>
      </w:r>
    </w:p>
    <w:p>
      <w:pPr>
        <w:pStyle w:val="ListParagraph"/>
        <w:numPr>
          <w:ilvl w:val="0"/>
          <w:numId w:val="2"/>
        </w:numPr>
        <w:spacing w:after="80"/>
      </w:pPr>
      <w:r>
        <w:rPr>
          <w:rFonts w:ascii="Calibri" w:cs="Calibri" w:eastAsia="Calibri" w:hAnsi="Calibri"/>
          <w:sz w:val="22"/>
          <w:szCs w:val="22"/>
        </w:rPr>
        <w:t xml:space="preserve">Invalidación total: el resultado completo del protocolo se marca como no válido para uso en la capa de decisión empresarial (aunque puede conservarse con fines de auditoría interna o para invitar a la persona a repetir el proceso); ocurre cuando 2 o más de los 4 indicadores de validez superan su umbral de forma simultánea, o cuando un único indicador supera su propio umbral de invalidación total definido arriba.</w:t>
      </w:r>
    </w:p>
    <w:p>
      <w:pPr>
        <w:spacing w:after="140"/>
      </w:pPr>
      <w:r>
        <w:rPr>
          <w:rFonts w:ascii="Calibri" w:cs="Calibri" w:eastAsia="Calibri" w:hAnsi="Calibri"/>
          <w:sz w:val="22"/>
          <w:szCs w:val="22"/>
        </w:rPr>
        <w:t xml:space="preserve">[DESCONOCIDO] Los umbrales numéricos exactos de cada regla (25%, 15%, 2 dimensiones, 3 contradicciones, etc.) son valores de partida razonados para el diseño inicial, no estadísticas derivadas de datos reales; deben recalibrarse empíricamente con la muestra piloto según el plan de validación de la Fase 9, y su versión final debe documentarse como parte del marco de normas de la Fase 8.</w:t>
      </w:r>
    </w:p>
    <w:p>
      <w:pPr>
        <w:pStyle w:val="Heading1"/>
        <w:spacing w:after="150" w:before="300"/>
      </w:pPr>
      <w:r>
        <w:t xml:space="preserve">6. Relación con el banco de reactivos (Fases 3 a 5)</w:t>
      </w:r>
    </w:p>
    <w:p>
      <w:pPr>
        <w:spacing w:after="140"/>
      </w:pPr>
      <w:r>
        <w:rPr>
          <w:rFonts w:ascii="Calibri" w:cs="Calibri" w:eastAsia="Calibri" w:hAnsi="Calibri"/>
          <w:sz w:val="22"/>
          <w:szCs w:val="22"/>
        </w:rPr>
        <w:t xml:space="preserve">[HECHO] Cada uno de los 60-80 reactivos que se redacten en las Fases 3, 4 y 5 debe declarar explícitamente, siguiendo el formato de 16 campos ya definido por George en el brief original: su tipo (según la tipología de la Sección 1), su dirección (directa o inversa, según la Sección 3), si pertenece a un par espejo y con qué otro reactivo (según el diseño de la Sección 4), y si es uno de los reactivos de control de Azarosidad (Sección 5.1). Esta trazabilidad es la que permite construir la matriz de scoring de la Fase 6 sin ambigüedad.</w:t>
      </w:r>
    </w:p>
    <w:p>
      <w:pPr>
        <w:spacing w:after="140"/>
      </w:pPr>
      <w:r>
        <w:rPr>
          <w:rFonts w:ascii="Calibri" w:cs="Calibri" w:eastAsia="Calibri" w:hAnsi="Calibri"/>
          <w:sz w:val="22"/>
          <w:szCs w:val="22"/>
        </w:rPr>
        <w:t xml:space="preserve">[INFERENCIA] Las 8 dimensiones de la familia Factores Contextuales no requieren par espejo obligatorio según PLAN.md (que limita ese requisito a la familia Integridad Nuclear), aunque pueden incorporarlo de forma opcional si el equipo de redacción de las Fases 3-5 lo considera útil para una dimensión específica; de hacerlo, debe documentarse con el mismo formato de la tabla de la Sección 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2026-09-07T03:07:15.547Z</dcterms:created>
  <dcterms:modified xsi:type="dcterms:W3CDTF">2026-09-07T03:07:15.548Z</dcterms:modified>
</cp:coreProperties>
</file>

<file path=docProps/custom.xml><?xml version="1.0" encoding="utf-8"?>
<Properties xmlns="http://schemas.openxmlformats.org/officeDocument/2006/custom-properties" xmlns:vt="http://schemas.openxmlformats.org/officeDocument/2006/docPropsVTypes"/>
</file>