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Fase 5 — Banco de Reactivos, Parte 3 (Dimensiones 15-20) y Consolidado</w:t>
      </w:r>
    </w:p>
    <w:p>
      <w:pPr>
        <w:spacing w:after="140"/>
      </w:pPr>
      <w:r>
        <w:rPr>
          <w:rFonts w:ascii="Calibri" w:cs="Calibri" w:eastAsia="Calibri" w:hAnsi="Calibri"/>
          <w:i/>
          <w:iCs/>
          <w:sz w:val="22"/>
          <w:szCs w:val="22"/>
        </w:rPr>
        <w:t xml:space="preserve">[NOMBRE DEL INSTRUMENTO] — Nuevo instrumento de evaluación de integridad laboral</w:t>
      </w:r>
    </w:p>
    <w:p>
      <w:pPr>
        <w:spacing w:after="140"/>
      </w:pPr>
      <w:r>
        <w:rPr>
          <w:rFonts w:ascii="Calibri" w:cs="Calibri" w:eastAsia="Calibri" w:hAnsi="Calibri"/>
          <w:sz w:val="22"/>
          <w:szCs w:val="22"/>
        </w:rPr>
        <w:t xml:space="preserve">Preparado para: George (jsuasnavas@gmail.com)</w:t>
      </w:r>
    </w:p>
    <w:p>
      <w:pPr>
        <w:spacing w:after="140"/>
      </w:pPr>
      <w:r>
        <w:rPr>
          <w:rFonts w:ascii="Calibri" w:cs="Calibri" w:eastAsia="Calibri" w:hAnsi="Calibri"/>
          <w:sz w:val="22"/>
          <w:szCs w:val="22"/>
        </w:rPr>
        <w:t xml:space="preserve">Fecha: 6 de septiembre de 2026</w:t>
      </w:r>
    </w:p>
    <w:p>
      <w:pPr>
        <w:spacing w:after="140"/>
      </w:pPr>
      <w:r>
        <w:rPr>
          <w:rFonts w:ascii="Calibri" w:cs="Calibri" w:eastAsia="Calibri" w:hAnsi="Calibri"/>
          <w:sz w:val="22"/>
          <w:szCs w:val="22"/>
        </w:rPr>
        <w:t xml:space="preserve">Este documento contiene los 24 reactivos finales del banco (4 por dimensión), cubriendo las Dimensiones 15 a 20: cuatro de la familia Factores Contextuales (15, 16, 17 y 20) y dos de la familia Integridad Nuclear (18 y 19, ambas dimensiones nuevas de la Fase 1, con pares espejo obligatorios). Con esta entrega, el banco completo alcanza 80 reactivos originales, cubriendo las 20 dimensiones definidas en la Fase 1. Se incluye además la tabla de consolidación final de todo el banco, requerida por PLAN.md para esta fase. Ningún reactivo reproduce ni parafrasea contenido de AMITAI®, Midot o Kudert.</w:t>
      </w:r>
    </w:p>
    <w:p>
      <w:pPr>
        <w:spacing w:after="140"/>
      </w:pPr>
      <w:r>
        <w:rPr>
          <w:rFonts w:ascii="Calibri" w:cs="Calibri" w:eastAsia="Calibri" w:hAnsi="Calibri"/>
          <w:b/>
          <w:bCs/>
          <w:sz w:val="22"/>
          <w:szCs w:val="22"/>
        </w:rPr>
        <w:t xml:space="preserve">[HECHO] </w:t>
      </w:r>
      <w:r>
        <w:rPr>
          <w:rFonts w:ascii="Calibri" w:cs="Calibri" w:eastAsia="Calibri" w:hAnsi="Calibri"/>
          <w:sz w:val="22"/>
          <w:szCs w:val="22"/>
        </w:rPr>
        <w:t xml:space="preserve">El formato de 16 campos por reactivo es el definido por George en el brief original del proyecto (mismo formato que las Fases 3 y 4). DECISIONS.md fija el banco en un rango de 60-80 reactivos; esta entrega cierra el banco en 80, el extremo superior del rango aprobado.</w:t>
      </w:r>
    </w:p>
    <w:p>
      <w:pPr>
        <w:spacing w:after="140"/>
      </w:pPr>
      <w:r>
        <w:rPr>
          <w:rFonts w:ascii="Calibri" w:cs="Calibri" w:eastAsia="Calibri" w:hAnsi="Calibri"/>
          <w:sz w:val="22"/>
          <w:szCs w:val="22"/>
        </w:rPr>
        <w:t xml:space="preserve">Convención de evidencia: [HECHO] = decisión ya aprobada por George en DECISIONS.md · [INFERENCIA] = derivado lógicamente de una decisión aprobada · [HIPÓTESIS] = elección razonable del equipo de diseño, no validada aún empíricamente · [DESCONOCIDO] = pendiente de dato piloto. Los valores psicométricos y reglas de riesgo de este documento son de tipo [HIPÓTESIS]: quedan sujetos a calibración empírica en la Fase 9.</w:t>
      </w:r>
    </w:p>
    <w:p>
      <w:pPr>
        <w:pStyle w:val="Heading1"/>
        <w:spacing w:after="150" w:before="300"/>
      </w:pPr>
      <w:r>
        <w:t xml:space="preserve">Dimensión 15. Manejo No Violento del Conflicto</w:t>
      </w:r>
    </w:p>
    <w:p>
      <w:pPr>
        <w:pStyle w:val="Heading2"/>
        <w:pBdr>
          <w:bottom w:val="single" w:color="1F3864" w:sz="6" w:space="4"/>
        </w:pBdr>
        <w:spacing w:after="120" w:before="260"/>
      </w:pPr>
      <w:r>
        <w:t xml:space="preserve">R057 — Justificación de respuesta agresiva ante provocación</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15. Manejo No Violento del Conflicto</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Justificación de respuesta agresiva ante provocación</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Justificación de una respuesta agresiva verbal o física ante una provocación laboral.</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1 — Opinión/Actitud</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¿Qué tan de acuerdo estás con: 'Si alguien me provoca fuertemente en el trabajo, responder de forma agresiva verbal o físicamente es una reacción comprensible y hasta justificada'?</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Totalmente en desacuerdo (0) / En desacuerdo (1) / Algo de acuerdo (2) / De acuerdo (3) / Totalmente de acuerdo (4)</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Totalmente en desacuerdo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0-4;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Justificación actitudinal de la respuesta agresiva ante una provocación.</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3-4.</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No requiere par espejo obligatorio (dimensión de Factores Contextuales); contraste temático con R058.</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se evalúa contradicción formal obligatoria en esta dimensión.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Media.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Deriva del Modelo General de la Agresión (Anderson &amp; Bushman, 2002, Fase 1 Dimensión 15).</w:t>
      </w:r>
    </w:p>
    <w:p>
      <w:pPr>
        <w:pStyle w:val="Heading2"/>
        <w:pBdr>
          <w:bottom w:val="single" w:color="1F3864" w:sz="6" w:space="4"/>
        </w:pBdr>
        <w:spacing w:after="120" w:before="260"/>
      </w:pPr>
      <w:r>
        <w:t xml:space="preserve">R058 — Historial de conflictos resueltos mediante agresión</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15. Manejo No Violento del Conflicto</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Historial de conflictos resueltos mediante agresión</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Reporte de involucramiento pasado en conflictos resueltos mediante agresión física o verbal.</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3 — Involucramiento pasado / frecuencia conductual</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En tu vida adulta, ¿cuántas veces un conflicto interpersonal (laboral o personal) terminó resuelto mediante una agresión verbal fuerte o física de tu parte?</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Nunca (0) / Una vez (1) / Pocas veces (2) / Varias veces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Nunca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0-3;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Historial auto-reportado de resolución de conflictos mediante agresión.</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2-3.</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R057 (mismo dominio).</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se evalúa contradicción formal obligatoria en esta dimensión.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Alta.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Mide directamente el indicador conductual b de la Fase 1.</w:t>
      </w:r>
    </w:p>
    <w:p>
      <w:pPr>
        <w:pStyle w:val="Heading2"/>
        <w:pBdr>
          <w:bottom w:val="single" w:color="1F3864" w:sz="6" w:space="4"/>
        </w:pBdr>
        <w:spacing w:after="120" w:before="260"/>
      </w:pPr>
      <w:r>
        <w:t xml:space="preserve">R059 — Agresividad percibida como carácter fuerte/liderazgo</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15. Manejo No Violento del Conflicto</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Agresividad percibida como carácter fuerte/liderazgo</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Percepción de la agresividad como una muestra de carácter fuerte o liderazgo.</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1 — Opinión/Actitud</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¿Qué tan de acuerdo estás con: 'Una persona que responde con firmeza agresiva ante un conflicto suele proyectar más carácter y liderazgo que una que busca dialogar primero'?</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Totalmente en desacuerdo (0) / En desacuerdo (1) / Algo de acuerdo (2) / De acuerdo (3) / Totalmente de acuerdo (4)</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Totalmente en desacuerdo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0-4;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Percepción de la agresividad como rasgo de carácter fuerte o liderazgo.</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3-4.</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R057 (mismo dominio).</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se evalúa contradicción formal obligatoria en esta dimensión.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Media.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Mide directamente el indicador conductual c de la Fase 1.</w:t>
      </w:r>
    </w:p>
    <w:p>
      <w:pPr>
        <w:pStyle w:val="Heading2"/>
        <w:pBdr>
          <w:bottom w:val="single" w:color="1F3864" w:sz="6" w:space="4"/>
        </w:pBdr>
        <w:spacing w:after="120" w:before="260"/>
      </w:pPr>
      <w:r>
        <w:t xml:space="preserve">R060 — Disposición a buscar mediación antes de confrontar</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15. Manejo No Violento del Conflicto</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Disposición a buscar mediación antes de confrontar</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Disposición declarada a buscar mediación o diálogo antes de una confrontación directa.</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4 — Escenario / dilema situacional</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Tienes un desacuerdo fuerte con un compañero que además te ha hablado de forma un poco hostil. ¿Qué tan probable es que, antes de confrontarlo directamente, busques primero una conversación calmada o algún tipo de mediación?</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Nada probable (0) / Poco probable (1) / Bastante probable (2) / Muy probable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Muy probable (valor 3 en escala cruda)</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cruda 0-3; alternativa de mayor riesgo ya ocupa el valor más bajo, reactivo marcado como inverso para la fórmula de la Fase 6.</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Inverso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Disposición activa a buscar mediación o diálogo antes de la confrontación.</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0-1.</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R057 y R058 (mismo dominio).</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se evalúa contradicción formal obligatoria en esta dimensión.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Alta.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Mide directamente el indicador conductual d de la Fase 1.</w:t>
      </w:r>
    </w:p>
    <w:p>
      <w:pPr>
        <w:pStyle w:val="Heading1"/>
        <w:spacing w:after="150" w:before="300"/>
      </w:pPr>
      <w:r>
        <w:t xml:space="preserve">Dimensión 16. Control de la Conducta de Riesgo Recreativo</w:t>
      </w:r>
    </w:p>
    <w:p>
      <w:pPr>
        <w:pStyle w:val="Heading2"/>
        <w:pBdr>
          <w:bottom w:val="single" w:color="1F3864" w:sz="6" w:space="4"/>
        </w:pBdr>
        <w:spacing w:after="120" w:before="260"/>
      </w:pPr>
      <w:r>
        <w:t xml:space="preserve">R061 — Frecuencia de participación en juegos de azar</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16. Control de la Conducta de Riesgo Recreativo</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Frecuencia de participación en juegos de azar</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Reporte de frecuencia e intensidad de participación en juegos de azar o apuestas.</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3 — Involucramiento pasado / frecuencia conductual</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En los últimos 12 meses, ¿con qué frecuencia has participado en juegos de azar o apuestas (en línea, casino, deportivas u otras)?</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Nunca (0) / Rara vez (1) / Con cierta frecuencia (2) / Frecuentemente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Nunca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0-3;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Frecuencia auto-reportada de participación en juegos de azar.</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2-3.</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No requiere par espejo obligatorio (dimensión de Factores Contextuales); contraste temático con R062.</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se evalúa contradicción formal obligatoria en esta dimensión.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Alta.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Deriva del Modelo de Adicciones Conductuales (Griffiths, 2005, Fase 1 Dimensión 16).</w:t>
      </w:r>
    </w:p>
    <w:p>
      <w:pPr>
        <w:pStyle w:val="Heading2"/>
        <w:pBdr>
          <w:bottom w:val="single" w:color="1F3864" w:sz="6" w:space="4"/>
        </w:pBdr>
        <w:spacing w:after="120" w:before="260"/>
      </w:pPr>
      <w:r>
        <w:t xml:space="preserve">R062 — Control percibido sobre la decisión de detenerse al apostar</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16. Control de la Conducta de Riesgo Recreativo</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Control percibido sobre la decisión de detenerse al apostar</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Percepción propia de control sobre la decisión de detenerse al apostar.</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1 — Opinión/Actitud (autoevaluación de control)</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¿Qué tan de acuerdo estás con: 'Cuando apuesto, tengo control total sobre el momento en que decido parar, sin importar si estoy ganando o perdiendo'?</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Totalmente en desacuerdo (0) / En desacuerdo (1) / Algo de acuerdo (2) / De acuerdo (3) / Totalmente de acuerdo (4)</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Totalmente de acuerdo (valor 4 en escala cruda)</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cruda 0-4; reactivo inverso, se invierte para el índice de dimensión.</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Inverso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Percepción propia de control sobre la decisión de detenerse al apostar.</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Desacuerdo (valores crudos 0-1).</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R061 (mismo dominio).</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se evalúa contradicción formal obligatoria en esta dimensión.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Media.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Mide directamente el indicador conductual b de la Fase 1.</w:t>
      </w:r>
    </w:p>
    <w:p>
      <w:pPr>
        <w:pStyle w:val="Heading2"/>
        <w:pBdr>
          <w:bottom w:val="single" w:color="1F3864" w:sz="6" w:space="4"/>
        </w:pBdr>
        <w:spacing w:after="120" w:before="260"/>
      </w:pPr>
      <w:r>
        <w:t xml:space="preserve">R063 — Uso de recursos destinados a otro fin para apostar</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16. Control de la Conducta de Riesgo Recreativo</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Uso de recursos destinados a otro fin para apostar</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Reporte de haber usado recursos destinados a otros fines para apostar.</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3 — Involucramiento pasado / frecuencia conductual</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¿Cuántas veces has usado dinero o recursos que tenías destinados a otro fin (pago de servicios, deudas, ahorro) para apostar o jugar?</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Nunca (0) / Una vez (1) / Pocas veces (2) / Varias veces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Nunca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0-3;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Uso indebido de recursos propios destinados a otro fin para apostar.</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Cualquier valor de 1 o más ya se considera relevante.</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R061 (mismo dominio).</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se evalúa contradicción formal obligatoria en esta dimensión.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Alta.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Mide directamente el indicador conductual c de la Fase 1.</w:t>
      </w:r>
    </w:p>
    <w:p>
      <w:pPr>
        <w:pStyle w:val="Heading2"/>
        <w:pBdr>
          <w:bottom w:val="single" w:color="1F3864" w:sz="6" w:space="4"/>
        </w:pBdr>
        <w:spacing w:after="120" w:before="260"/>
      </w:pPr>
      <w:r>
        <w:t xml:space="preserve">R064 — Consecuencias previas asociadas al juego</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16. Control de la Conducta de Riesgo Recreativo</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Consecuencias previas asociadas al juego</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Reporte de consecuencias financieras o personales previas asociadas al juego.</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3 — Involucramiento pasado / frecuencia conductual</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¿Cuántas veces el juego o las apuestas te han generado una consecuencia financiera o personal negativa relevante (deudas, discusiones, problemas de sueño o de ánimo)?</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Nunca (0) / Una vez (1) / Pocas veces (2) / Varias veces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Nunca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0-3;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Consecuencias previas asociadas al juego de azar.</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Cualquier valor de 1 o más ya se considera relevante.</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R061 y R063 (refuerzo temático).</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se evalúa contradicción formal obligatoria en esta dimensión.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Alta.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Mide directamente el indicador conductual d de la Fase 1.</w:t>
      </w:r>
    </w:p>
    <w:p>
      <w:pPr>
        <w:pStyle w:val="Heading1"/>
        <w:spacing w:after="150" w:before="300"/>
      </w:pPr>
      <w:r>
        <w:t xml:space="preserve">Dimensión 17. Orientación Prosocial</w:t>
      </w:r>
    </w:p>
    <w:p>
      <w:pPr>
        <w:pStyle w:val="Heading2"/>
        <w:pBdr>
          <w:bottom w:val="single" w:color="1F3864" w:sz="6" w:space="4"/>
        </w:pBdr>
        <w:spacing w:after="120" w:before="260"/>
      </w:pPr>
      <w:r>
        <w:t xml:space="preserve">R065 — Disposición a ceder beneficio propio para evitar perjuicio mayor</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17. Orientación Prosocial</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Disposición a ceder beneficio propio para evitar perjuicio mayor</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Disposición a ceder un beneficio propio menor para evitar un perjuicio mayor a un tercero.</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4 — Escenario / dilema situacional</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Puedes quedarte con un pequeño beneficio (por ejemplo, una comisión o un reconocimiento) sabiendo que, si lo cedes, evitarás un perjuicio mayor a un compañero. ¿Qué tan probable es que cedas el beneficio?</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Nada probable (0) / Poco probable (1) / Bastante probable (2) / Muy probable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Muy probable (valor 3 en escala cruda)</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cruda 0-3; alternativa de mayor riesgo ya ocupa el valor más bajo, reactivo marcado como inverso para la fórmula de la Fase 6.</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Inverso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Disposición a ceder un beneficio propio menor para evitar un perjuicio mayor a un tercero.</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0-1.</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No requiere par espejo obligatorio (dimensión de Factores Contextuales); contraste temático con R067.</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se evalúa contradicción formal obligatoria en esta dimensión.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Media.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Deriva de la Teoría de la Empatía-Altruismo (Batson, 1991, Fase 1 Dimensión 17).</w:t>
      </w:r>
    </w:p>
    <w:p>
      <w:pPr>
        <w:pStyle w:val="Heading2"/>
        <w:pBdr>
          <w:bottom w:val="single" w:color="1F3864" w:sz="6" w:space="4"/>
        </w:pBdr>
        <w:spacing w:after="120" w:before="260"/>
      </w:pPr>
      <w:r>
        <w:t xml:space="preserve">R066 — Consideración declarada del impacto en compañeros</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17. Orientación Prosocial</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Consideración declarada del impacto en compañeros</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Percepción propia sobre qué tanto considera el impacto de sus decisiones en sus compañeros.</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1 — Opinión/Actitud (autoevaluación)</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¿Qué tan de acuerdo estás con: 'Antes de tomar una decisión que afecta a mi equipo, normalmente me detengo a pensar en cómo impactará a mis compañeros'?</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Totalmente en desacuerdo (0) / En desacuerdo (1) / Algo de acuerdo (2) / De acuerdo (3) / Totalmente de acuerdo (4)</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Totalmente de acuerdo (valor 4 en escala cruda)</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cruda 0-4; reactivo inverso, se invierte para el índice de dimensión.</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Inverso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Consideración declarada del impacto de las propias decisiones en otros.</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Desacuerdo (valores crudos 0-1).</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R065 (mismo dominio).</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se evalúa contradicción formal obligatoria en esta dimensión.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Media.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Mide directamente el indicador conductual b de la Fase 1.</w:t>
      </w:r>
    </w:p>
    <w:p>
      <w:pPr>
        <w:pStyle w:val="Heading2"/>
        <w:pBdr>
          <w:bottom w:val="single" w:color="1F3864" w:sz="6" w:space="4"/>
        </w:pBdr>
        <w:spacing w:after="120" w:before="260"/>
      </w:pPr>
      <w:r>
        <w:t xml:space="preserve">R067 — Priorización sistemática del interés propio en el equipo</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17. Orientación Prosocial</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Priorización sistemática del interés propio en el equipo</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Reporte de haber priorizado sistemáticamente el interés propio en decisiones de equipo.</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3 — Involucramiento pasado / frecuencia conductual</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En decisiones de equipo, ¿cuántas veces has priorizado claramente tu interés personal por encima del interés del grupo, aun sabiendo que había una opción más equilibrada disponible?</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Nunca (0) / Una vez (1) / Pocas veces (2) / Varias veces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Nunca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0-3;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Historial de priorización sistemática del interés propio en decisiones de equipo.</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2-3.</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R065 (mismo dominio).</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se evalúa contradicción formal obligatoria en esta dimensión.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Alta.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Mide directamente el indicador conductual c de la Fase 1.</w:t>
      </w:r>
    </w:p>
    <w:p>
      <w:pPr>
        <w:pStyle w:val="Heading2"/>
        <w:pBdr>
          <w:bottom w:val="single" w:color="1F3864" w:sz="6" w:space="4"/>
        </w:pBdr>
        <w:spacing w:after="120" w:before="260"/>
      </w:pPr>
      <w:r>
        <w:t xml:space="preserve">R068 — Disposición a colaborar sin beneficio personal directo</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17. Orientación Prosocial</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Disposición a colaborar sin beneficio personal directo</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Disposición a colaborar en una tarea sin beneficio personal directo cuando el equipo lo necesita.</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4 — Escenario / dilema situacional</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Tu equipo necesita ayuda con una tarea que no te corresponde y de la que no obtendrás ningún reconocimiento ni beneficio directo. ¿Qué tan probable es que igual colabores?</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Nada probable (0) / Poco probable (1) / Bastante probable (2) / Muy probable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Muy probable (valor 3 en escala cruda)</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cruda 0-3; alternativa de mayor riesgo ya ocupa el valor más bajo, reactivo marcado como inverso para la fórmula de la Fase 6.</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Inverso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Disposición a colaborar sin beneficio personal directo.</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0-1.</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R067 (mismo dominio).</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se evalúa contradicción formal obligatoria en esta dimensión.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Alta.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Mide directamente el indicador conductual d de la Fase 1.</w:t>
      </w:r>
    </w:p>
    <w:p>
      <w:pPr>
        <w:pStyle w:val="Heading1"/>
        <w:spacing w:after="150" w:before="300"/>
      </w:pPr>
      <w:r>
        <w:t xml:space="preserve">Dimensión 18. Conflicto de Interés</w:t>
      </w:r>
    </w:p>
    <w:p>
      <w:pPr>
        <w:pStyle w:val="Heading2"/>
        <w:pBdr>
          <w:bottom w:val="single" w:color="1F3864" w:sz="6" w:space="4"/>
        </w:pBdr>
        <w:spacing w:after="120" w:before="260"/>
      </w:pPr>
      <w:r>
        <w:t xml:space="preserve">R069 — Justificación de no declarar una relación con un proveedor</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18. Conflicto de Interés</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Justificación de no declarar una relación con un proveedor</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Justificación de no declarar una relación personal o familiar con un proveedor o candidato evaluado.</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1 — Opinión/Actitud</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¿Qué tan de acuerdo estás con: 'Si tengo una relación familiar o personal cercana con un proveedor o candidato que estoy evaluando, y creo que puedo ser objetivo de todas formas, no es necesario declarar esa relación'?</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Totalmente en desacuerdo (0) / En desacuerdo (1) / Algo de acuerdo (2) / De acuerdo (3) / Totalmente de acuerdo (4)</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Totalmente en desacuerdo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0-4;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Justificación actitudinal de no declarar un conflicto de interés.</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3-4.</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R070 (par espejo de la dimensión).</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Desacuerdo fuerte aquí combinado con una decisión favorable elegida en R070 se cuenta como contradicción.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Media.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Deriva de la Teoría de la Agencia (Jensen &amp; Meckling, 1976, Fase 1 Dimensión 18).</w:t>
      </w:r>
    </w:p>
    <w:p>
      <w:pPr>
        <w:pStyle w:val="Heading2"/>
        <w:pBdr>
          <w:bottom w:val="single" w:color="1F3864" w:sz="6" w:space="4"/>
        </w:pBdr>
        <w:spacing w:after="120" w:before="260"/>
      </w:pPr>
      <w:r>
        <w:t xml:space="preserve">R070 — Aplicación concreta de un interés no declarado en una decisión</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18. Conflicto de Interés</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Aplicación concreta de un interés no declarado en una decisión</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Disposición a favorecer, en igualdad de condiciones, a una persona o empresa vinculada a un interés personal no declarado.</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4 — Escenario / dilema situacional</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Estás evaluando dos propuestas de proveedores igual de competitivas en precio y calidad; una de las empresas pertenece a un familiar cercano tuyo, algo que no has declarado formalmente. ¿Qué tan probable es que tu decisión se incline hacia esa empresa?</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Nada probable (0) / Poco probable (1) / Bastante probable (2) / Muy probable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Nada probable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0-3;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Disposición concreta a favorecer un interés personal no declarado en igualdad de condiciones.</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2-3.</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R069 (par espejo de la dimensión).</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Valor alto aquí combinado con desacuerdo fuerte en R069 se cuenta como contradicción.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Alta.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Mide el indicador conductual b en un caso aplicado, exponiendo la brecha entre norma abstracta y decisión concreta.</w:t>
      </w:r>
    </w:p>
    <w:p>
      <w:pPr>
        <w:pStyle w:val="Heading2"/>
        <w:pBdr>
          <w:bottom w:val="single" w:color="1F3864" w:sz="6" w:space="4"/>
        </w:pBdr>
        <w:spacing w:after="120" w:before="260"/>
      </w:pPr>
      <w:r>
        <w:t xml:space="preserve">R071 — Gravedad percibida de participar con un interés no declarado</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18. Conflicto de Interés</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Gravedad percibida de participar con un interés no declarado</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Percepción de qué tan grave considera participar en una decisión donde tiene un interés personal en juego.</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5 — Comparación de gravedad (autoevaluación graduada)</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¿Qué tan grave consideras participar en una decisión laboral donde tienes un interés personal en juego (económico, familiar o de amistad cercana), sin haberlo declarado antes?</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Nada grave (0) / Poco grave (1) / Bastante grave (2) / Muy grave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Muy grave (valor 3 en escala cruda)</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cruda 0-3; alternativa de mayor riesgo (calificar como poco o nada grave) ya ocupa el valor más bajo, reactivo marcado como inverso.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Inverso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Percepción propia de la gravedad de un conflicto de interés no declarado.</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0-1 (calificación de poco o nada grave).</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R069 y R070 (mismo dominio, refuerzo del par espejo).</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se evalúa como contradicción formal independiente; refuerza la lectura del par espejo R069-R070.</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Media.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Mide directamente el indicador conductual c de la Fase 1.</w:t>
      </w:r>
    </w:p>
    <w:p>
      <w:pPr>
        <w:pStyle w:val="Heading2"/>
        <w:pBdr>
          <w:bottom w:val="single" w:color="1F3864" w:sz="6" w:space="4"/>
        </w:pBdr>
        <w:spacing w:after="120" w:before="260"/>
      </w:pPr>
      <w:r>
        <w:t xml:space="preserve">R072 — Historial de declaración proactiva de conflictos de interés</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18. Conflicto de Interés</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Historial de declaración proactiva de conflictos de interés</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Reporte de haber declarado proactivamente un posible conflicto de interés en el pasado.</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3 — Involucramiento pasado / frecuencia conductual</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En tu experiencia laboral, ¿cuántas veces has declarado proactivamente, sin que nadie te lo pidiera, un posible conflicto de interés antes de participar en una decisión?</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Nunca (0) / Una vez (1) / Pocas veces (2) / Varias veces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Varias veces (valor 3 en escala cruda)</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cruda 0-3; como se trata de una conducta de integridad activa, el valor se invierte para el índice de dimensión (mayor frecuencia declarada de conducta íntegra = menor riesgo).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Inverso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Historial de declaración proactiva de conflictos de interés, componente activo/prosocial de la dimensión.</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 bajo (nunca haber declarado proactivamente).</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R069 y R070 (refuerzo).</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se evalúa como contradicción formal independiente.</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Alta.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Mide directamente el indicador conductual d de la Fase 1.</w:t>
      </w:r>
    </w:p>
    <w:p>
      <w:pPr>
        <w:pStyle w:val="Heading1"/>
        <w:spacing w:after="150" w:before="300"/>
      </w:pPr>
      <w:r>
        <w:t xml:space="preserve">Dimensión 19. Uso Indebido de Recursos No Físicos</w:t>
      </w:r>
    </w:p>
    <w:p>
      <w:pPr>
        <w:pStyle w:val="Heading2"/>
        <w:pBdr>
          <w:bottom w:val="single" w:color="1F3864" w:sz="6" w:space="4"/>
        </w:pBdr>
        <w:spacing w:after="120" w:before="260"/>
      </w:pPr>
      <w:r>
        <w:t xml:space="preserve">R073 — Historial de uso indebido de accesos digitales organizacionales</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19. Uso Indebido de Recursos No Físicos</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Historial de uso indebido de accesos digitales organizacionales</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Reporte de haber usado accesos digitales de la organización para fines personales o de terceros.</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3 — Involucramiento pasado / frecuencia conductual</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En los últimos 12 meses, ¿cuántas veces usaste cuentas, accesos o licencias digitales de tu organización para fines personales o de terceros, no relacionados con tu trabajo?</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Nunca (0) / Una vez (1) / Pocas veces (2) / Varias veces o de forma habitual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Nunca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0-3;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Historial auto-reportado de uso indebido de accesos digitales organizacionales.</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2-3.</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R074 (par espejo de la dimensión).</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Valor alto aquí combinado con baja gravedad asignada en R074 se cuenta como contradicción.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Alta.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Deriva de la Teoría del Contrato Psicológico (Rousseau, 1989, Fase 1 Dimensión 19).</w:t>
      </w:r>
    </w:p>
    <w:p>
      <w:pPr>
        <w:pStyle w:val="Heading2"/>
        <w:pBdr>
          <w:bottom w:val="single" w:color="1F3864" w:sz="6" w:space="4"/>
        </w:pBdr>
        <w:spacing w:after="120" w:before="260"/>
      </w:pPr>
      <w:r>
        <w:t xml:space="preserve">R074 — Discriminación de gravedad entre formas de uso indebido de recursos</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19. Uso Indebido de Recursos No Físicos</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Discriminación de gravedad entre formas de uso indebido de recursos</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Percepción de la gravedad de compartir información o datos de la organización sin autorización, contrastada con otras formas de uso indebido de recursos no físicos.</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5 — Comparación de gravedad</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De las siguientes conductas, ¿cuál consideras la MÁS grave: (A) usar 30 minutos del horario laboral en asuntos personales, (B) compartir sin autorización un archivo con datos internos de la organización a alguien externo, o (C) usar una licencia de software pagada por la empresa para un proyecto personal?</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Selección forzada entre A, B o C</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Seleccionar la opción B como la más grave</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Seleccionar B = 0 (bajo riesgo, reconoce correctamente la mayor gravedad); seleccionar A o C como más grave que B = 3 (riesgo, minimiza la gravedad de compartir datos). Reactivo marcado como inverso porque la alternativa que reconoce el mayor riesgo objetivo (B) recibe el valor más bajo.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Inverso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Capacidad de discriminar la gravedad relativa entre distintas formas de uso indebido de recursos no físicos (tiempo, datos, licencias), en particular reconocer la fuga de datos como la más grave.</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No seleccionar B como la opción más grave.</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R073 (par espejo de la dimensión).</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Alta frecuencia de uso indebido en R073 combinada con no reconocer B como grave aquí se cuenta como contradicción.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Media.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Mide de forma indirecta los indicadores conductuales a y c de la Fase 1, a través de la estructura del juicio de gravedad.</w:t>
      </w:r>
    </w:p>
    <w:p>
      <w:pPr>
        <w:pStyle w:val="Heading2"/>
        <w:pBdr>
          <w:bottom w:val="single" w:color="1F3864" w:sz="6" w:space="4"/>
        </w:pBdr>
        <w:spacing w:after="120" w:before="260"/>
      </w:pPr>
      <w:r>
        <w:t xml:space="preserve">R075 — Justificación del uso extenso de tiempo laboral pagado</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19. Uso Indebido de Recursos No Físicos</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Justificación del uso extenso de tiempo laboral pagado</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Justificación de usar el tiempo laboral pagado para actividades personales no autorizadas de forma extensa.</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1 — Opinión/Actitud</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¿Qué tan de acuerdo estás con: 'Usar una parte considerable de mi horario laboral pagado en actividades personales (redes sociales, trámites propios, etc.) no es un problema mientras cumpla con mis resultados'?</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Totalmente en desacuerdo (0) / En desacuerdo (1) / Algo de acuerdo (2) / De acuerdo (3) / Totalmente de acuerdo (4)</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Totalmente en desacuerdo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0-4;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Justificación actitudinal del uso extenso de tiempo laboral pagado para fines personales.</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3-4.</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R073 (mismo dominio, no par espejo formal).</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se evalúa contradicción formal directa sobre este ítem individual.</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Media.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Mide directamente el indicador conductual a de la Fase 1.</w:t>
      </w:r>
    </w:p>
    <w:p>
      <w:pPr>
        <w:pStyle w:val="Heading2"/>
        <w:pBdr>
          <w:bottom w:val="single" w:color="1F3864" w:sz="6" w:space="4"/>
        </w:pBdr>
        <w:spacing w:after="120" w:before="260"/>
      </w:pPr>
      <w:r>
        <w:t xml:space="preserve">R076 — Disposición a usar información confidencial para beneficio externo</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19. Uso Indebido de Recursos No Físicos</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Disposición a usar información confidencial para beneficio externo</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Disposición a usar información confidencial obtenida en el trabajo para un beneficio personal fuera de él.</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6 — Intención futura</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Si tuvieras acceso a información confidencial de tu organización o de un cliente que pudiera darte una ventaja personal fuera del trabajo (por ejemplo, para un negocio propio), y supieras que nadie lo notaría, ¿qué tan probable es que la usaras?</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Nada probable (0) / Poco probable (1) / Bastante probable (2) / Muy probable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Nada probable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0-3;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Disposición a usar información confidencial obtenida en el trabajo para un beneficio personal externo.</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2-3.</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R073 y R074 (mismo dominio, no par espejo formal).</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se evalúa contradicción formal directa sobre este ítem individual.</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Alta.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Mide directamente el indicador conductual d de la Fase 1.</w:t>
      </w:r>
    </w:p>
    <w:p>
      <w:pPr>
        <w:pStyle w:val="Heading1"/>
        <w:spacing w:after="150" w:before="300"/>
      </w:pPr>
      <w:r>
        <w:t xml:space="preserve">Dimensión 20. Percepción de Impunidad</w:t>
      </w:r>
    </w:p>
    <w:p>
      <w:pPr>
        <w:pStyle w:val="Heading2"/>
        <w:pBdr>
          <w:bottom w:val="single" w:color="1F3864" w:sz="6" w:space="4"/>
        </w:pBdr>
        <w:spacing w:after="120" w:before="260"/>
      </w:pPr>
      <w:r>
        <w:t xml:space="preserve">R077 — Probabilidad percibida de detección de conductas deshonestas</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20. Percepción de Impunidad</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Probabilidad percibida de detección de conductas deshonestas</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Percepción de la probabilidad de que una conducta deshonesta propia sea detectada en su entorno actual.</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2 — Percepción de terceros (autoevaluación de contexto)</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En tu organización o entorno laboral actual, ¿qué tan probable crees que es que una conducta deshonesta (por ejemplo, un pequeño fraude o sustracción) sea detectada si ocurre?</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Nada probable (0) / Poco probable (1) / Bastante probable (2) / Muy probable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Muy probable (valor 3 en escala cruda)</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cruda 0-3; reactivo inverso, se invierte para el índice de dimensión (percibir alta probabilidad de detección se asocia a menor riesgo situacional).</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Inverso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Percepción de la probabilidad de detección de conductas deshonestas en el entorno.</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Percibir baja probabilidad de detección (valores crudos 0-1).</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R079 (mismo dominio).</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se evalúa contradicción formal obligatoria en esta dimensión (Factores Contextuales, moderador de riesgo).</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Baja.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Deriva de la Teoría de la Disuasión (Becker, 1968; Paternoster, 2010, Fase 1 Dimensión 20).</w:t>
      </w:r>
    </w:p>
    <w:p>
      <w:pPr>
        <w:pStyle w:val="Heading2"/>
        <w:pBdr>
          <w:bottom w:val="single" w:color="1F3864" w:sz="6" w:space="4"/>
        </w:pBdr>
        <w:spacing w:after="120" w:before="260"/>
      </w:pPr>
      <w:r>
        <w:t xml:space="preserve">R078 — Severidad y consistencia percibida de las sanciones</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20. Percepción de Impunidad</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Severidad y consistencia percibida de las sanciones</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Percepción de qué tan severas o consistentes son las sanciones a la deshonestidad en su organización o industria.</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2 — Percepción de terceros (autoevaluación de contexto)</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En tu organización o entorno laboral actual, ¿qué tan severas y consistentes dirías que son las sanciones cuando se detecta una conducta deshonesta?</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Nada severas/consistentes (0) / Poco severas/consistentes (1) / Bastante severas/consistentes (2) / Muy severas/consistentes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Muy severas/consistentes (valor 3 en escala cruda)</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cruda 0-3; reactivo inverso, se invierte para el índice de dimensión.</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Inverso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Percepción de la severidad y consistencia de las sanciones a la deshonestidad.</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Percibir sanciones poco severas o inconsistentes (valores crudos 0-1).</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R077 (mismo dominio).</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se evalúa contradicción formal obligatoria en esta dimensión.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Baja.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Mide el indicador conductual b de la Fase 1, complementando la certeza percibida de detección (R077) con la severidad percibida de la sanción, ambos componentes del marco de disuasión.</w:t>
      </w:r>
    </w:p>
    <w:p>
      <w:pPr>
        <w:pStyle w:val="Heading2"/>
        <w:pBdr>
          <w:bottom w:val="single" w:color="1F3864" w:sz="6" w:space="4"/>
        </w:pBdr>
        <w:spacing w:after="120" w:before="260"/>
      </w:pPr>
      <w:r>
        <w:t xml:space="preserve">R079 — Asociación declarada entre impunidad percibida y disposición propia</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20. Percepción de Impunidad</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Asociación declarada entre impunidad percibida y disposición propia</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Asociación declarada entre 'baja probabilidad de ser descubierto' y mayor disposición personal a actuar deshonestamente.</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1 — Opinión/Actitud</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¿Qué tan de acuerdo estás con: 'Si supiera con certeza que una conducta deshonesta mía no sería descubierta, sería considerablemente más probable que la cometiera'?</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Totalmente en desacuerdo (0) / En desacuerdo (1) / Algo de acuerdo (2) / De acuerdo (3) / Totalmente de acuerdo (4)</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Totalmente en desacuerdo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0-4;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Asociación declarada entre la percepción de impunidad y la propia disposición a actuar deshonestamente.</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3-4.</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R077 y R078 (mismo dominio).</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se evalúa contradicción formal obligatoria en esta dimensión.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Media.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Mide directamente el indicador conductual c de la Fase 1, el mecanismo central de la Teoría de la Disuasión aplicado a la disposición propia.</w:t>
      </w:r>
    </w:p>
    <w:p>
      <w:pPr>
        <w:pStyle w:val="Heading2"/>
        <w:pBdr>
          <w:bottom w:val="single" w:color="1F3864" w:sz="6" w:space="4"/>
        </w:pBdr>
        <w:spacing w:after="120" w:before="260"/>
      </w:pPr>
      <w:r>
        <w:t xml:space="preserve">R080 — Eficacia percibida de los controles de supervisión</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20. Percepción de Impunidad</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Eficacia percibida de los controles de supervisión</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Percepción de la eficacia de los controles de supervisión existentes en su entorno laboral.</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2 — Percepción de terceros (autoevaluación de contexto)</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En tu entorno laboral actual, ¿qué tan eficaces dirías que son los controles y mecanismos de supervisión existentes para detectar conductas deshonestas?</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Nada eficaces (0) / Poco eficaces (1) / Bastante eficaces (2) / Muy eficaces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Muy eficaces (valor 3 en escala cruda)</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cruda 0-3; reactivo inverso, se invierte para el índice de dimensión.</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Inverso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Percepción de la eficacia de los controles de supervisión existentes.</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Percibir controles poco eficaces (valores crudos 0-1).</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R077 y R078 (refuerzo).</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se evalúa contradicción formal obligatoria en esta dimensión.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Baja.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Mide directamente el indicador conductual d de la Fase 1.</w:t>
      </w:r>
    </w:p>
    <w:p>
      <w:pPr>
        <w:pStyle w:val="Heading1"/>
        <w:spacing w:after="150" w:before="300"/>
      </w:pPr>
      <w:r>
        <w:t xml:space="preserve">Tabla de consolidación final del banco completo (80 reactivos)</w:t>
      </w:r>
    </w:p>
    <w:p>
      <w:pPr>
        <w:spacing w:after="140"/>
      </w:pPr>
      <w:r>
        <w:rPr>
          <w:rFonts w:ascii="Calibri" w:cs="Calibri" w:eastAsia="Calibri" w:hAnsi="Calibri"/>
          <w:sz w:val="22"/>
          <w:szCs w:val="22"/>
        </w:rPr>
        <w:t xml:space="preserve">[HECHO] Esta tabla reúne los 80 reactivos entregados en las Fases 3, 4 y 5, con su ID, dimensión y tipo de reactivo, para verificar cobertura balanceada antes de construir la matriz de scoring en la Fase 6.</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3000"/>
      </w:tblGrid>
      <w:tr>
        <w:tc>
          <w:tcPr>
            <w:tcW w:type="dxa" w:w="900"/>
            <w:shd w:fill="1F3864" w:val="clear"/>
            <w:tcMar>
              <w:top w:type="dxa" w:w="60"/>
              <w:left w:type="dxa" w:w="90"/>
              <w:bottom w:type="dxa" w:w="60"/>
              <w:right w:type="dxa" w:w="90"/>
            </w:tcMar>
          </w:tcPr>
          <w:p>
            <w:r>
              <w:rPr>
                <w:rFonts w:ascii="Calibri" w:cs="Calibri" w:eastAsia="Calibri" w:hAnsi="Calibri"/>
                <w:b/>
                <w:bCs/>
                <w:color w:val="FFFFFF"/>
                <w:sz w:val="18"/>
                <w:szCs w:val="18"/>
              </w:rPr>
              <w:t xml:space="preserve">ID</w:t>
            </w:r>
          </w:p>
        </w:tc>
        <w:tc>
          <w:tcPr>
            <w:tcW w:type="dxa" w:w="5200"/>
            <w:shd w:fill="1F3864" w:val="clear"/>
            <w:tcMar>
              <w:top w:type="dxa" w:w="60"/>
              <w:left w:type="dxa" w:w="90"/>
              <w:bottom w:type="dxa" w:w="60"/>
              <w:right w:type="dxa" w:w="90"/>
            </w:tcMar>
          </w:tcPr>
          <w:p>
            <w:r>
              <w:rPr>
                <w:rFonts w:ascii="Calibri" w:cs="Calibri" w:eastAsia="Calibri" w:hAnsi="Calibri"/>
                <w:b/>
                <w:bCs/>
                <w:color w:val="FFFFFF"/>
                <w:sz w:val="18"/>
                <w:szCs w:val="18"/>
              </w:rPr>
              <w:t xml:space="preserve">Dimensión</w:t>
            </w:r>
          </w:p>
        </w:tc>
        <w:tc>
          <w:tcPr>
            <w:tcW w:type="dxa" w:w="3000"/>
            <w:shd w:fill="1F3864" w:val="clear"/>
            <w:tcMar>
              <w:top w:type="dxa" w:w="60"/>
              <w:left w:type="dxa" w:w="90"/>
              <w:bottom w:type="dxa" w:w="60"/>
              <w:right w:type="dxa" w:w="90"/>
            </w:tcMar>
          </w:tcPr>
          <w:p>
            <w:r>
              <w:rPr>
                <w:rFonts w:ascii="Calibri" w:cs="Calibri" w:eastAsia="Calibri" w:hAnsi="Calibri"/>
                <w:b/>
                <w:bCs/>
                <w:color w:val="FFFFFF"/>
                <w:sz w:val="18"/>
                <w:szCs w:val="18"/>
              </w:rPr>
              <w:t xml:space="preserve">Tipo de reactivo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R001</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1. Respeto a la Propiedad Ajena</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1 — Opinión/Actitud</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R002</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1. Respeto a la Propiedad Ajena</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3 — Involucramiento pasado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R003</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1. Respeto a la Propiedad Ajena</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2 — Percepción de terceros</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R004</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1. Respeto a la Propiedad Ajena</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4 — Escenario/dilema</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R005</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2. Integridad Transaccional</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4 — Escenario/dilema</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R006</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2. Integridad Transaccional</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6 — Intención futura</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R007</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2. Integridad Transaccional</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1 — Opinión/Actitud</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R008</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2. Integridad Transaccional</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2 — Percepción de terceros</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R009</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3. Coherencia Declarativa</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1 — Opinión/Actitud</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R010</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3. Coherencia Declarativa</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3 — Involucramiento pasado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R011</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3. Coherencia Declarativa</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4 — Escenario/dilema</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R012</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3. Coherencia Declarativa</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5 — Comparación de gravedad</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R013</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4. Compromiso Ético Organizacional</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1 — Opinión/Actitud</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R014</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4. Compromiso Ético Organizacional</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6 — Intención futura</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R015</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4. Compromiso Ético Organizacional</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3 — Involucramiento pasado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R016</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4. Compromiso Ético Organizacional</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4 — Escenario/dilema</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R017</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5. Respeto a la Autonomía Sexual Laboral</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1 — Opinión/Actitud</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R018</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5. Respeto a la Autonomía Sexual Laboral</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4 — Escenario/dilema</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R019</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5. Respeto a la Autonomía Sexual Laboral</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1 — Opinión/Actitud</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R020</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5. Respeto a la Autonomía Sexual Laboral</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4 — Escenario/dilema</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R021</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6. Uso Ético del Poder Interpersonal</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3 — Involucramiento pasado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R022</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6. Uso Ético del Poder Interpersonal</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5 — Comparación de gravedad</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R023</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6. Uso Ético del Poder Interpersonal</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2 — Percepción de terceros</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R024</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6. Uso Ético del Poder Interpersonal</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1 — Opinión/Actitud</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R025</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7. Equidad de Trato Interpersonal</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1 — Opinión/Actitud</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R026</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7. Equidad de Trato Interpersonal</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4 — Escenario/dilema</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R027</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7. Equidad de Trato Interpersonal</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1 — Opinión/Actitud</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R028</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7. Equidad de Trato Interpersonal</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3 — Involucramiento pasado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R029</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8. Responsabilización por Resultados</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3 — Involucramiento pasado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R030</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8. Responsabilización por Resultados</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6 — Intención futura</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R031</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8. Responsabilización por Resultados</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3 — Involucramiento pasado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R032</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8. Responsabilización por Resultados</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2 — Percepción de terceros</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R033</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9. Integridad Documental e Informativa</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4 — Escenario/dilema</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R034</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9. Integridad Documental e Informativa</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3 — Involucramiento pasado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R035</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9. Integridad Documental e Informativa</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2 — Percepción de terceros</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R036</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9. Integridad Documental e Informativa</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1 — Opinión/Actitud</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R037</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10. Distanciamiento de Redes de Ilegalidad</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1 — Opinión/Actitud</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R038</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10. Distanciamiento de Redes de Ilegalidad</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6 — Intención futura</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R039</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10. Distanciamiento de Redes de Ilegalidad</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1 — Opinión/Actitud</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R040</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10. Distanciamiento de Redes de Ilegalidad</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1 — Opinión/Actitud (riesgo percibido)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R041</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11. Autorregulación ante Sustancias</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3 — Involucramiento pasado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R042</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11. Autorregulación ante Sustancias</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1 — Opinión/Actitud</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R043</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11. Autorregulación ante Sustancias</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1 — Opinión/Actitud (control)</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R044</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11. Autorregulación ante Sustancias</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3 — Involucramiento pasado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R045</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12. Apego a la Norma Social</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1 — Opinión/Actitud</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R046</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12. Apego a la Norma Social</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1 — Opinión/Actitud</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R047</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12. Apego a la Norma Social</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3 — Involucramiento pasado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R048</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12. Apego a la Norma Social</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4 — Escenario/dilema</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R049</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13. Gestión Responsable de Recursos Propios</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3 — Involucramiento pasado (estado actual)</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R050</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13. Gestión Responsable de Recursos Propios</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1 — Opinión/Actitud (control)</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R051</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13. Gestión Responsable de Recursos Propios</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1 — Opinión/Actitud</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R052</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13. Gestión Responsable de Recursos Propios</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3 — Involucramiento pasado (estado actual)</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R053</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14. Regulación de la Impulsividad</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3 — Involucramiento pasado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R054</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14. Regulación de la Impulsividad</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4 — Escenario/dilema</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R055</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14. Regulación de la Impulsividad</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1 — Opinión/Actitud (autorregulación)</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R056</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14. Regulación de la Impulsividad</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3 — Involucramiento pasado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R057</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15. Manejo No Violento del Conflicto</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1 — Opinión/Actitud</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R058</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15. Manejo No Violento del Conflicto</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3 — Involucramiento pasado / frecuencia conductual</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R059</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15. Manejo No Violento del Conflicto</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1 — Opinión/Actitud</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R060</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15. Manejo No Violento del Conflicto</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4 — Escenario / dilema situacional</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R061</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16. Control de la Conducta de Riesgo Recreativo</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3 — Involucramiento pasado / frecuencia conductual</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R062</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16. Control de la Conducta de Riesgo Recreativo</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1 — Opinión/Actitud (autoevaluación de control)</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R063</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16. Control de la Conducta de Riesgo Recreativo</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3 — Involucramiento pasado / frecuencia conductual</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R064</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16. Control de la Conducta de Riesgo Recreativo</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3 — Involucramiento pasado / frecuencia conductual</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R065</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17. Orientación Prosocial</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4 — Escenario / dilema situacional</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R066</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17. Orientación Prosocial</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1 — Opinión/Actitud (autoevaluación)</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R067</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17. Orientación Prosocial</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3 — Involucramiento pasado / frecuencia conductual</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R068</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17. Orientación Prosocial</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4 — Escenario / dilema situacional</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R069</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18. Conflicto de Interés</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1 — Opinión/Actitud</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R070</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18. Conflicto de Interés</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4 — Escenario / dilema situacional</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R071</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18. Conflicto de Interés</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5 — Comparación de gravedad (autoevaluación graduada)</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R072</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18. Conflicto de Interés</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3 — Involucramiento pasado / frecuencia conductual</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R073</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19. Uso Indebido de Recursos No Físicos</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3 — Involucramiento pasado / frecuencia conductual</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R074</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19. Uso Indebido de Recursos No Físicos</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5 — Comparación de gravedad</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R075</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19. Uso Indebido de Recursos No Físicos</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1 — Opinión/Actitud</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R076</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19. Uso Indebido de Recursos No Físicos</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6 — Intención futura</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R077</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20. Percepción de Impunidad</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2 — Percepción de terceros (autoevaluación de contexto)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R078</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20. Percepción de Impunidad</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2 — Percepción de terceros (autoevaluación de contexto)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R079</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20. Percepción de Impunidad</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1 — Opinión/Actitud</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R080</w:t>
            </w:r>
          </w:p>
        </w:tc>
        <w:tc>
          <w:tcPr>
            <w:tcW w:type="dxa" w:w="5200"/>
            <w:tcMar>
              <w:top w:type="dxa" w:w="60"/>
              <w:left w:type="dxa" w:w="90"/>
              <w:bottom w:type="dxa" w:w="60"/>
              <w:right w:type="dxa" w:w="90"/>
            </w:tcMar>
          </w:tcPr>
          <w:p>
            <w:r>
              <w:rPr>
                <w:rFonts w:ascii="Calibri" w:cs="Calibri" w:eastAsia="Calibri" w:hAnsi="Calibri"/>
                <w:b w:val="false"/>
                <w:bCs w:val="false"/>
                <w:sz w:val="18"/>
                <w:szCs w:val="18"/>
              </w:rPr>
              <w:t xml:space="preserve">20. Percepción de Impunidad</w:t>
            </w:r>
          </w:p>
        </w:tc>
        <w:tc>
          <w:tcPr>
            <w:tcW w:type="dxa" w:w="3000"/>
            <w:tcMar>
              <w:top w:type="dxa" w:w="60"/>
              <w:left w:type="dxa" w:w="90"/>
              <w:bottom w:type="dxa" w:w="60"/>
              <w:right w:type="dxa" w:w="90"/>
            </w:tcMar>
          </w:tcPr>
          <w:p>
            <w:r>
              <w:rPr>
                <w:rFonts w:ascii="Calibri" w:cs="Calibri" w:eastAsia="Calibri" w:hAnsi="Calibri"/>
                <w:b w:val="false"/>
                <w:bCs w:val="false"/>
                <w:sz w:val="18"/>
                <w:szCs w:val="18"/>
              </w:rPr>
              <w:t xml:space="preserve">2 — Percepción de terceros (autoevaluación de contexto)</w:t>
            </w:r>
          </w:p>
        </w:tc>
      </w:tr>
    </w:tbl>
    <w:p>
      <w:pPr>
        <w:pStyle w:val="Heading1"/>
        <w:spacing w:after="150" w:before="300"/>
      </w:pPr>
      <w:r>
        <w:t xml:space="preserve">Cobertura por dimensión</w:t>
      </w:r>
    </w:p>
    <w:p>
      <w:pPr>
        <w:spacing w:after="140"/>
      </w:pPr>
      <w:r>
        <w:rPr>
          <w:rFonts w:ascii="Calibri" w:cs="Calibri" w:eastAsia="Calibri" w:hAnsi="Calibri"/>
          <w:sz w:val="22"/>
          <w:szCs w:val="22"/>
        </w:rPr>
        <w:t xml:space="preserve">Cada una de las 20 dimensiones cuenta con exactamente 4 reactivos, cumpliendo el rango de 3-4 por dimensión fijado en PLAN.md para las Fases 3-5, y sumando 80 reactivos en total, el extremo superior del rango de 60-80 fijado en DECISIONS.md.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6500"/>
        <w:gridCol w:w="2600"/>
      </w:tblGrid>
      <w:tr>
        <w:tc>
          <w:tcPr>
            <w:tcW w:type="dxa" w:w="6500"/>
            <w:shd w:fill="1F3864" w:val="clear"/>
            <w:tcMar>
              <w:top w:type="dxa" w:w="60"/>
              <w:left w:type="dxa" w:w="90"/>
              <w:bottom w:type="dxa" w:w="60"/>
              <w:right w:type="dxa" w:w="90"/>
            </w:tcMar>
          </w:tcPr>
          <w:p>
            <w:r>
              <w:rPr>
                <w:rFonts w:ascii="Calibri" w:cs="Calibri" w:eastAsia="Calibri" w:hAnsi="Calibri"/>
                <w:b/>
                <w:bCs/>
                <w:color w:val="FFFFFF"/>
                <w:sz w:val="18"/>
                <w:szCs w:val="18"/>
              </w:rPr>
              <w:t xml:space="preserve">Dimensión</w:t>
            </w:r>
          </w:p>
        </w:tc>
        <w:tc>
          <w:tcPr>
            <w:tcW w:type="dxa" w:w="2600"/>
            <w:shd w:fill="1F3864" w:val="clear"/>
            <w:tcMar>
              <w:top w:type="dxa" w:w="60"/>
              <w:left w:type="dxa" w:w="90"/>
              <w:bottom w:type="dxa" w:w="60"/>
              <w:right w:type="dxa" w:w="90"/>
            </w:tcMar>
          </w:tcPr>
          <w:p>
            <w:r>
              <w:rPr>
                <w:rFonts w:ascii="Calibri" w:cs="Calibri" w:eastAsia="Calibri" w:hAnsi="Calibri"/>
                <w:b/>
                <w:bCs/>
                <w:color w:val="FFFFFF"/>
                <w:sz w:val="18"/>
                <w:szCs w:val="18"/>
              </w:rPr>
              <w:t xml:space="preserve">Nº de reactivos</w:t>
            </w:r>
          </w:p>
        </w:tc>
      </w:tr>
      <w:tr>
        <w:tc>
          <w:tcPr>
            <w:tcW w:type="dxa" w:w="6500"/>
            <w:tcMar>
              <w:top w:type="dxa" w:w="60"/>
              <w:left w:type="dxa" w:w="90"/>
              <w:bottom w:type="dxa" w:w="60"/>
              <w:right w:type="dxa" w:w="90"/>
            </w:tcMar>
          </w:tcPr>
          <w:p>
            <w:r>
              <w:rPr>
                <w:rFonts w:ascii="Calibri" w:cs="Calibri" w:eastAsia="Calibri" w:hAnsi="Calibri"/>
                <w:b w:val="false"/>
                <w:bCs w:val="false"/>
                <w:sz w:val="18"/>
                <w:szCs w:val="18"/>
              </w:rPr>
              <w:t xml:space="preserve">1. Respeto a la Propiedad Ajena</w:t>
            </w:r>
          </w:p>
        </w:tc>
        <w:tc>
          <w:tcPr>
            <w:tcW w:type="dxa" w:w="2600"/>
            <w:tcMar>
              <w:top w:type="dxa" w:w="60"/>
              <w:left w:type="dxa" w:w="90"/>
              <w:bottom w:type="dxa" w:w="60"/>
              <w:right w:type="dxa" w:w="90"/>
            </w:tcMar>
          </w:tcPr>
          <w:p>
            <w:r>
              <w:rPr>
                <w:rFonts w:ascii="Calibri" w:cs="Calibri" w:eastAsia="Calibri" w:hAnsi="Calibri"/>
                <w:b w:val="false"/>
                <w:bCs w:val="false"/>
                <w:sz w:val="18"/>
                <w:szCs w:val="18"/>
              </w:rPr>
              <w:t xml:space="preserve">4</w:t>
            </w:r>
          </w:p>
        </w:tc>
      </w:tr>
      <w:tr>
        <w:tc>
          <w:tcPr>
            <w:tcW w:type="dxa" w:w="6500"/>
            <w:tcMar>
              <w:top w:type="dxa" w:w="60"/>
              <w:left w:type="dxa" w:w="90"/>
              <w:bottom w:type="dxa" w:w="60"/>
              <w:right w:type="dxa" w:w="90"/>
            </w:tcMar>
          </w:tcPr>
          <w:p>
            <w:r>
              <w:rPr>
                <w:rFonts w:ascii="Calibri" w:cs="Calibri" w:eastAsia="Calibri" w:hAnsi="Calibri"/>
                <w:b w:val="false"/>
                <w:bCs w:val="false"/>
                <w:sz w:val="18"/>
                <w:szCs w:val="18"/>
              </w:rPr>
              <w:t xml:space="preserve">2. Integridad Transaccional</w:t>
            </w:r>
          </w:p>
        </w:tc>
        <w:tc>
          <w:tcPr>
            <w:tcW w:type="dxa" w:w="2600"/>
            <w:tcMar>
              <w:top w:type="dxa" w:w="60"/>
              <w:left w:type="dxa" w:w="90"/>
              <w:bottom w:type="dxa" w:w="60"/>
              <w:right w:type="dxa" w:w="90"/>
            </w:tcMar>
          </w:tcPr>
          <w:p>
            <w:r>
              <w:rPr>
                <w:rFonts w:ascii="Calibri" w:cs="Calibri" w:eastAsia="Calibri" w:hAnsi="Calibri"/>
                <w:b w:val="false"/>
                <w:bCs w:val="false"/>
                <w:sz w:val="18"/>
                <w:szCs w:val="18"/>
              </w:rPr>
              <w:t xml:space="preserve">4</w:t>
            </w:r>
          </w:p>
        </w:tc>
      </w:tr>
      <w:tr>
        <w:tc>
          <w:tcPr>
            <w:tcW w:type="dxa" w:w="6500"/>
            <w:tcMar>
              <w:top w:type="dxa" w:w="60"/>
              <w:left w:type="dxa" w:w="90"/>
              <w:bottom w:type="dxa" w:w="60"/>
              <w:right w:type="dxa" w:w="90"/>
            </w:tcMar>
          </w:tcPr>
          <w:p>
            <w:r>
              <w:rPr>
                <w:rFonts w:ascii="Calibri" w:cs="Calibri" w:eastAsia="Calibri" w:hAnsi="Calibri"/>
                <w:b w:val="false"/>
                <w:bCs w:val="false"/>
                <w:sz w:val="18"/>
                <w:szCs w:val="18"/>
              </w:rPr>
              <w:t xml:space="preserve">3. Coherencia Declarativa</w:t>
            </w:r>
          </w:p>
        </w:tc>
        <w:tc>
          <w:tcPr>
            <w:tcW w:type="dxa" w:w="2600"/>
            <w:tcMar>
              <w:top w:type="dxa" w:w="60"/>
              <w:left w:type="dxa" w:w="90"/>
              <w:bottom w:type="dxa" w:w="60"/>
              <w:right w:type="dxa" w:w="90"/>
            </w:tcMar>
          </w:tcPr>
          <w:p>
            <w:r>
              <w:rPr>
                <w:rFonts w:ascii="Calibri" w:cs="Calibri" w:eastAsia="Calibri" w:hAnsi="Calibri"/>
                <w:b w:val="false"/>
                <w:bCs w:val="false"/>
                <w:sz w:val="18"/>
                <w:szCs w:val="18"/>
              </w:rPr>
              <w:t xml:space="preserve">4</w:t>
            </w:r>
          </w:p>
        </w:tc>
      </w:tr>
      <w:tr>
        <w:tc>
          <w:tcPr>
            <w:tcW w:type="dxa" w:w="6500"/>
            <w:tcMar>
              <w:top w:type="dxa" w:w="60"/>
              <w:left w:type="dxa" w:w="90"/>
              <w:bottom w:type="dxa" w:w="60"/>
              <w:right w:type="dxa" w:w="90"/>
            </w:tcMar>
          </w:tcPr>
          <w:p>
            <w:r>
              <w:rPr>
                <w:rFonts w:ascii="Calibri" w:cs="Calibri" w:eastAsia="Calibri" w:hAnsi="Calibri"/>
                <w:b w:val="false"/>
                <w:bCs w:val="false"/>
                <w:sz w:val="18"/>
                <w:szCs w:val="18"/>
              </w:rPr>
              <w:t xml:space="preserve">4. Compromiso Ético Organizacional</w:t>
            </w:r>
          </w:p>
        </w:tc>
        <w:tc>
          <w:tcPr>
            <w:tcW w:type="dxa" w:w="2600"/>
            <w:tcMar>
              <w:top w:type="dxa" w:w="60"/>
              <w:left w:type="dxa" w:w="90"/>
              <w:bottom w:type="dxa" w:w="60"/>
              <w:right w:type="dxa" w:w="90"/>
            </w:tcMar>
          </w:tcPr>
          <w:p>
            <w:r>
              <w:rPr>
                <w:rFonts w:ascii="Calibri" w:cs="Calibri" w:eastAsia="Calibri" w:hAnsi="Calibri"/>
                <w:b w:val="false"/>
                <w:bCs w:val="false"/>
                <w:sz w:val="18"/>
                <w:szCs w:val="18"/>
              </w:rPr>
              <w:t xml:space="preserve">4</w:t>
            </w:r>
          </w:p>
        </w:tc>
      </w:tr>
      <w:tr>
        <w:tc>
          <w:tcPr>
            <w:tcW w:type="dxa" w:w="6500"/>
            <w:tcMar>
              <w:top w:type="dxa" w:w="60"/>
              <w:left w:type="dxa" w:w="90"/>
              <w:bottom w:type="dxa" w:w="60"/>
              <w:right w:type="dxa" w:w="90"/>
            </w:tcMar>
          </w:tcPr>
          <w:p>
            <w:r>
              <w:rPr>
                <w:rFonts w:ascii="Calibri" w:cs="Calibri" w:eastAsia="Calibri" w:hAnsi="Calibri"/>
                <w:b w:val="false"/>
                <w:bCs w:val="false"/>
                <w:sz w:val="18"/>
                <w:szCs w:val="18"/>
              </w:rPr>
              <w:t xml:space="preserve">5. Respeto a la Autonomía Sexual Laboral</w:t>
            </w:r>
          </w:p>
        </w:tc>
        <w:tc>
          <w:tcPr>
            <w:tcW w:type="dxa" w:w="2600"/>
            <w:tcMar>
              <w:top w:type="dxa" w:w="60"/>
              <w:left w:type="dxa" w:w="90"/>
              <w:bottom w:type="dxa" w:w="60"/>
              <w:right w:type="dxa" w:w="90"/>
            </w:tcMar>
          </w:tcPr>
          <w:p>
            <w:r>
              <w:rPr>
                <w:rFonts w:ascii="Calibri" w:cs="Calibri" w:eastAsia="Calibri" w:hAnsi="Calibri"/>
                <w:b w:val="false"/>
                <w:bCs w:val="false"/>
                <w:sz w:val="18"/>
                <w:szCs w:val="18"/>
              </w:rPr>
              <w:t xml:space="preserve">4</w:t>
            </w:r>
          </w:p>
        </w:tc>
      </w:tr>
      <w:tr>
        <w:tc>
          <w:tcPr>
            <w:tcW w:type="dxa" w:w="6500"/>
            <w:tcMar>
              <w:top w:type="dxa" w:w="60"/>
              <w:left w:type="dxa" w:w="90"/>
              <w:bottom w:type="dxa" w:w="60"/>
              <w:right w:type="dxa" w:w="90"/>
            </w:tcMar>
          </w:tcPr>
          <w:p>
            <w:r>
              <w:rPr>
                <w:rFonts w:ascii="Calibri" w:cs="Calibri" w:eastAsia="Calibri" w:hAnsi="Calibri"/>
                <w:b w:val="false"/>
                <w:bCs w:val="false"/>
                <w:sz w:val="18"/>
                <w:szCs w:val="18"/>
              </w:rPr>
              <w:t xml:space="preserve">6. Uso Ético del Poder Interpersonal</w:t>
            </w:r>
          </w:p>
        </w:tc>
        <w:tc>
          <w:tcPr>
            <w:tcW w:type="dxa" w:w="2600"/>
            <w:tcMar>
              <w:top w:type="dxa" w:w="60"/>
              <w:left w:type="dxa" w:w="90"/>
              <w:bottom w:type="dxa" w:w="60"/>
              <w:right w:type="dxa" w:w="90"/>
            </w:tcMar>
          </w:tcPr>
          <w:p>
            <w:r>
              <w:rPr>
                <w:rFonts w:ascii="Calibri" w:cs="Calibri" w:eastAsia="Calibri" w:hAnsi="Calibri"/>
                <w:b w:val="false"/>
                <w:bCs w:val="false"/>
                <w:sz w:val="18"/>
                <w:szCs w:val="18"/>
              </w:rPr>
              <w:t xml:space="preserve">4</w:t>
            </w:r>
          </w:p>
        </w:tc>
      </w:tr>
      <w:tr>
        <w:tc>
          <w:tcPr>
            <w:tcW w:type="dxa" w:w="6500"/>
            <w:tcMar>
              <w:top w:type="dxa" w:w="60"/>
              <w:left w:type="dxa" w:w="90"/>
              <w:bottom w:type="dxa" w:w="60"/>
              <w:right w:type="dxa" w:w="90"/>
            </w:tcMar>
          </w:tcPr>
          <w:p>
            <w:r>
              <w:rPr>
                <w:rFonts w:ascii="Calibri" w:cs="Calibri" w:eastAsia="Calibri" w:hAnsi="Calibri"/>
                <w:b w:val="false"/>
                <w:bCs w:val="false"/>
                <w:sz w:val="18"/>
                <w:szCs w:val="18"/>
              </w:rPr>
              <w:t xml:space="preserve">7. Equidad de Trato Interpersonal</w:t>
            </w:r>
          </w:p>
        </w:tc>
        <w:tc>
          <w:tcPr>
            <w:tcW w:type="dxa" w:w="2600"/>
            <w:tcMar>
              <w:top w:type="dxa" w:w="60"/>
              <w:left w:type="dxa" w:w="90"/>
              <w:bottom w:type="dxa" w:w="60"/>
              <w:right w:type="dxa" w:w="90"/>
            </w:tcMar>
          </w:tcPr>
          <w:p>
            <w:r>
              <w:rPr>
                <w:rFonts w:ascii="Calibri" w:cs="Calibri" w:eastAsia="Calibri" w:hAnsi="Calibri"/>
                <w:b w:val="false"/>
                <w:bCs w:val="false"/>
                <w:sz w:val="18"/>
                <w:szCs w:val="18"/>
              </w:rPr>
              <w:t xml:space="preserve">4</w:t>
            </w:r>
          </w:p>
        </w:tc>
      </w:tr>
      <w:tr>
        <w:tc>
          <w:tcPr>
            <w:tcW w:type="dxa" w:w="6500"/>
            <w:tcMar>
              <w:top w:type="dxa" w:w="60"/>
              <w:left w:type="dxa" w:w="90"/>
              <w:bottom w:type="dxa" w:w="60"/>
              <w:right w:type="dxa" w:w="90"/>
            </w:tcMar>
          </w:tcPr>
          <w:p>
            <w:r>
              <w:rPr>
                <w:rFonts w:ascii="Calibri" w:cs="Calibri" w:eastAsia="Calibri" w:hAnsi="Calibri"/>
                <w:b w:val="false"/>
                <w:bCs w:val="false"/>
                <w:sz w:val="18"/>
                <w:szCs w:val="18"/>
              </w:rPr>
              <w:t xml:space="preserve">8. Responsabilización por Resultados</w:t>
            </w:r>
          </w:p>
        </w:tc>
        <w:tc>
          <w:tcPr>
            <w:tcW w:type="dxa" w:w="2600"/>
            <w:tcMar>
              <w:top w:type="dxa" w:w="60"/>
              <w:left w:type="dxa" w:w="90"/>
              <w:bottom w:type="dxa" w:w="60"/>
              <w:right w:type="dxa" w:w="90"/>
            </w:tcMar>
          </w:tcPr>
          <w:p>
            <w:r>
              <w:rPr>
                <w:rFonts w:ascii="Calibri" w:cs="Calibri" w:eastAsia="Calibri" w:hAnsi="Calibri"/>
                <w:b w:val="false"/>
                <w:bCs w:val="false"/>
                <w:sz w:val="18"/>
                <w:szCs w:val="18"/>
              </w:rPr>
              <w:t xml:space="preserve">4</w:t>
            </w:r>
          </w:p>
        </w:tc>
      </w:tr>
      <w:tr>
        <w:tc>
          <w:tcPr>
            <w:tcW w:type="dxa" w:w="6500"/>
            <w:tcMar>
              <w:top w:type="dxa" w:w="60"/>
              <w:left w:type="dxa" w:w="90"/>
              <w:bottom w:type="dxa" w:w="60"/>
              <w:right w:type="dxa" w:w="90"/>
            </w:tcMar>
          </w:tcPr>
          <w:p>
            <w:r>
              <w:rPr>
                <w:rFonts w:ascii="Calibri" w:cs="Calibri" w:eastAsia="Calibri" w:hAnsi="Calibri"/>
                <w:b w:val="false"/>
                <w:bCs w:val="false"/>
                <w:sz w:val="18"/>
                <w:szCs w:val="18"/>
              </w:rPr>
              <w:t xml:space="preserve">9. Integridad Documental e Informativa</w:t>
            </w:r>
          </w:p>
        </w:tc>
        <w:tc>
          <w:tcPr>
            <w:tcW w:type="dxa" w:w="2600"/>
            <w:tcMar>
              <w:top w:type="dxa" w:w="60"/>
              <w:left w:type="dxa" w:w="90"/>
              <w:bottom w:type="dxa" w:w="60"/>
              <w:right w:type="dxa" w:w="90"/>
            </w:tcMar>
          </w:tcPr>
          <w:p>
            <w:r>
              <w:rPr>
                <w:rFonts w:ascii="Calibri" w:cs="Calibri" w:eastAsia="Calibri" w:hAnsi="Calibri"/>
                <w:b w:val="false"/>
                <w:bCs w:val="false"/>
                <w:sz w:val="18"/>
                <w:szCs w:val="18"/>
              </w:rPr>
              <w:t xml:space="preserve">4</w:t>
            </w:r>
          </w:p>
        </w:tc>
      </w:tr>
      <w:tr>
        <w:tc>
          <w:tcPr>
            <w:tcW w:type="dxa" w:w="6500"/>
            <w:tcMar>
              <w:top w:type="dxa" w:w="60"/>
              <w:left w:type="dxa" w:w="90"/>
              <w:bottom w:type="dxa" w:w="60"/>
              <w:right w:type="dxa" w:w="90"/>
            </w:tcMar>
          </w:tcPr>
          <w:p>
            <w:r>
              <w:rPr>
                <w:rFonts w:ascii="Calibri" w:cs="Calibri" w:eastAsia="Calibri" w:hAnsi="Calibri"/>
                <w:b w:val="false"/>
                <w:bCs w:val="false"/>
                <w:sz w:val="18"/>
                <w:szCs w:val="18"/>
              </w:rPr>
              <w:t xml:space="preserve">10. Distanciamiento de Redes de Ilegalidad</w:t>
            </w:r>
          </w:p>
        </w:tc>
        <w:tc>
          <w:tcPr>
            <w:tcW w:type="dxa" w:w="2600"/>
            <w:tcMar>
              <w:top w:type="dxa" w:w="60"/>
              <w:left w:type="dxa" w:w="90"/>
              <w:bottom w:type="dxa" w:w="60"/>
              <w:right w:type="dxa" w:w="90"/>
            </w:tcMar>
          </w:tcPr>
          <w:p>
            <w:r>
              <w:rPr>
                <w:rFonts w:ascii="Calibri" w:cs="Calibri" w:eastAsia="Calibri" w:hAnsi="Calibri"/>
                <w:b w:val="false"/>
                <w:bCs w:val="false"/>
                <w:sz w:val="18"/>
                <w:szCs w:val="18"/>
              </w:rPr>
              <w:t xml:space="preserve">4</w:t>
            </w:r>
          </w:p>
        </w:tc>
      </w:tr>
      <w:tr>
        <w:tc>
          <w:tcPr>
            <w:tcW w:type="dxa" w:w="6500"/>
            <w:tcMar>
              <w:top w:type="dxa" w:w="60"/>
              <w:left w:type="dxa" w:w="90"/>
              <w:bottom w:type="dxa" w:w="60"/>
              <w:right w:type="dxa" w:w="90"/>
            </w:tcMar>
          </w:tcPr>
          <w:p>
            <w:r>
              <w:rPr>
                <w:rFonts w:ascii="Calibri" w:cs="Calibri" w:eastAsia="Calibri" w:hAnsi="Calibri"/>
                <w:b w:val="false"/>
                <w:bCs w:val="false"/>
                <w:sz w:val="18"/>
                <w:szCs w:val="18"/>
              </w:rPr>
              <w:t xml:space="preserve">11. Autorregulación ante Sustancias</w:t>
            </w:r>
          </w:p>
        </w:tc>
        <w:tc>
          <w:tcPr>
            <w:tcW w:type="dxa" w:w="2600"/>
            <w:tcMar>
              <w:top w:type="dxa" w:w="60"/>
              <w:left w:type="dxa" w:w="90"/>
              <w:bottom w:type="dxa" w:w="60"/>
              <w:right w:type="dxa" w:w="90"/>
            </w:tcMar>
          </w:tcPr>
          <w:p>
            <w:r>
              <w:rPr>
                <w:rFonts w:ascii="Calibri" w:cs="Calibri" w:eastAsia="Calibri" w:hAnsi="Calibri"/>
                <w:b w:val="false"/>
                <w:bCs w:val="false"/>
                <w:sz w:val="18"/>
                <w:szCs w:val="18"/>
              </w:rPr>
              <w:t xml:space="preserve">4</w:t>
            </w:r>
          </w:p>
        </w:tc>
      </w:tr>
      <w:tr>
        <w:tc>
          <w:tcPr>
            <w:tcW w:type="dxa" w:w="6500"/>
            <w:tcMar>
              <w:top w:type="dxa" w:w="60"/>
              <w:left w:type="dxa" w:w="90"/>
              <w:bottom w:type="dxa" w:w="60"/>
              <w:right w:type="dxa" w:w="90"/>
            </w:tcMar>
          </w:tcPr>
          <w:p>
            <w:r>
              <w:rPr>
                <w:rFonts w:ascii="Calibri" w:cs="Calibri" w:eastAsia="Calibri" w:hAnsi="Calibri"/>
                <w:b w:val="false"/>
                <w:bCs w:val="false"/>
                <w:sz w:val="18"/>
                <w:szCs w:val="18"/>
              </w:rPr>
              <w:t xml:space="preserve">12. Apego a la Norma Social</w:t>
            </w:r>
          </w:p>
        </w:tc>
        <w:tc>
          <w:tcPr>
            <w:tcW w:type="dxa" w:w="2600"/>
            <w:tcMar>
              <w:top w:type="dxa" w:w="60"/>
              <w:left w:type="dxa" w:w="90"/>
              <w:bottom w:type="dxa" w:w="60"/>
              <w:right w:type="dxa" w:w="90"/>
            </w:tcMar>
          </w:tcPr>
          <w:p>
            <w:r>
              <w:rPr>
                <w:rFonts w:ascii="Calibri" w:cs="Calibri" w:eastAsia="Calibri" w:hAnsi="Calibri"/>
                <w:b w:val="false"/>
                <w:bCs w:val="false"/>
                <w:sz w:val="18"/>
                <w:szCs w:val="18"/>
              </w:rPr>
              <w:t xml:space="preserve">4</w:t>
            </w:r>
          </w:p>
        </w:tc>
      </w:tr>
      <w:tr>
        <w:tc>
          <w:tcPr>
            <w:tcW w:type="dxa" w:w="6500"/>
            <w:tcMar>
              <w:top w:type="dxa" w:w="60"/>
              <w:left w:type="dxa" w:w="90"/>
              <w:bottom w:type="dxa" w:w="60"/>
              <w:right w:type="dxa" w:w="90"/>
            </w:tcMar>
          </w:tcPr>
          <w:p>
            <w:r>
              <w:rPr>
                <w:rFonts w:ascii="Calibri" w:cs="Calibri" w:eastAsia="Calibri" w:hAnsi="Calibri"/>
                <w:b w:val="false"/>
                <w:bCs w:val="false"/>
                <w:sz w:val="18"/>
                <w:szCs w:val="18"/>
              </w:rPr>
              <w:t xml:space="preserve">13. Gestión Responsable de Recursos Propios</w:t>
            </w:r>
          </w:p>
        </w:tc>
        <w:tc>
          <w:tcPr>
            <w:tcW w:type="dxa" w:w="2600"/>
            <w:tcMar>
              <w:top w:type="dxa" w:w="60"/>
              <w:left w:type="dxa" w:w="90"/>
              <w:bottom w:type="dxa" w:w="60"/>
              <w:right w:type="dxa" w:w="90"/>
            </w:tcMar>
          </w:tcPr>
          <w:p>
            <w:r>
              <w:rPr>
                <w:rFonts w:ascii="Calibri" w:cs="Calibri" w:eastAsia="Calibri" w:hAnsi="Calibri"/>
                <w:b w:val="false"/>
                <w:bCs w:val="false"/>
                <w:sz w:val="18"/>
                <w:szCs w:val="18"/>
              </w:rPr>
              <w:t xml:space="preserve">4</w:t>
            </w:r>
          </w:p>
        </w:tc>
      </w:tr>
      <w:tr>
        <w:tc>
          <w:tcPr>
            <w:tcW w:type="dxa" w:w="6500"/>
            <w:tcMar>
              <w:top w:type="dxa" w:w="60"/>
              <w:left w:type="dxa" w:w="90"/>
              <w:bottom w:type="dxa" w:w="60"/>
              <w:right w:type="dxa" w:w="90"/>
            </w:tcMar>
          </w:tcPr>
          <w:p>
            <w:r>
              <w:rPr>
                <w:rFonts w:ascii="Calibri" w:cs="Calibri" w:eastAsia="Calibri" w:hAnsi="Calibri"/>
                <w:b w:val="false"/>
                <w:bCs w:val="false"/>
                <w:sz w:val="18"/>
                <w:szCs w:val="18"/>
              </w:rPr>
              <w:t xml:space="preserve">14. Regulación de la Impulsividad</w:t>
            </w:r>
          </w:p>
        </w:tc>
        <w:tc>
          <w:tcPr>
            <w:tcW w:type="dxa" w:w="2600"/>
            <w:tcMar>
              <w:top w:type="dxa" w:w="60"/>
              <w:left w:type="dxa" w:w="90"/>
              <w:bottom w:type="dxa" w:w="60"/>
              <w:right w:type="dxa" w:w="90"/>
            </w:tcMar>
          </w:tcPr>
          <w:p>
            <w:r>
              <w:rPr>
                <w:rFonts w:ascii="Calibri" w:cs="Calibri" w:eastAsia="Calibri" w:hAnsi="Calibri"/>
                <w:b w:val="false"/>
                <w:bCs w:val="false"/>
                <w:sz w:val="18"/>
                <w:szCs w:val="18"/>
              </w:rPr>
              <w:t xml:space="preserve">4</w:t>
            </w:r>
          </w:p>
        </w:tc>
      </w:tr>
      <w:tr>
        <w:tc>
          <w:tcPr>
            <w:tcW w:type="dxa" w:w="6500"/>
            <w:tcMar>
              <w:top w:type="dxa" w:w="60"/>
              <w:left w:type="dxa" w:w="90"/>
              <w:bottom w:type="dxa" w:w="60"/>
              <w:right w:type="dxa" w:w="90"/>
            </w:tcMar>
          </w:tcPr>
          <w:p>
            <w:r>
              <w:rPr>
                <w:rFonts w:ascii="Calibri" w:cs="Calibri" w:eastAsia="Calibri" w:hAnsi="Calibri"/>
                <w:b w:val="false"/>
                <w:bCs w:val="false"/>
                <w:sz w:val="18"/>
                <w:szCs w:val="18"/>
              </w:rPr>
              <w:t xml:space="preserve">15. Manejo No Violento del Conflicto</w:t>
            </w:r>
          </w:p>
        </w:tc>
        <w:tc>
          <w:tcPr>
            <w:tcW w:type="dxa" w:w="2600"/>
            <w:tcMar>
              <w:top w:type="dxa" w:w="60"/>
              <w:left w:type="dxa" w:w="90"/>
              <w:bottom w:type="dxa" w:w="60"/>
              <w:right w:type="dxa" w:w="90"/>
            </w:tcMar>
          </w:tcPr>
          <w:p>
            <w:r>
              <w:rPr>
                <w:rFonts w:ascii="Calibri" w:cs="Calibri" w:eastAsia="Calibri" w:hAnsi="Calibri"/>
                <w:b w:val="false"/>
                <w:bCs w:val="false"/>
                <w:sz w:val="18"/>
                <w:szCs w:val="18"/>
              </w:rPr>
              <w:t xml:space="preserve">4</w:t>
            </w:r>
          </w:p>
        </w:tc>
      </w:tr>
      <w:tr>
        <w:tc>
          <w:tcPr>
            <w:tcW w:type="dxa" w:w="6500"/>
            <w:tcMar>
              <w:top w:type="dxa" w:w="60"/>
              <w:left w:type="dxa" w:w="90"/>
              <w:bottom w:type="dxa" w:w="60"/>
              <w:right w:type="dxa" w:w="90"/>
            </w:tcMar>
          </w:tcPr>
          <w:p>
            <w:r>
              <w:rPr>
                <w:rFonts w:ascii="Calibri" w:cs="Calibri" w:eastAsia="Calibri" w:hAnsi="Calibri"/>
                <w:b w:val="false"/>
                <w:bCs w:val="false"/>
                <w:sz w:val="18"/>
                <w:szCs w:val="18"/>
              </w:rPr>
              <w:t xml:space="preserve">16. Control de la Conducta de Riesgo Recreativo</w:t>
            </w:r>
          </w:p>
        </w:tc>
        <w:tc>
          <w:tcPr>
            <w:tcW w:type="dxa" w:w="2600"/>
            <w:tcMar>
              <w:top w:type="dxa" w:w="60"/>
              <w:left w:type="dxa" w:w="90"/>
              <w:bottom w:type="dxa" w:w="60"/>
              <w:right w:type="dxa" w:w="90"/>
            </w:tcMar>
          </w:tcPr>
          <w:p>
            <w:r>
              <w:rPr>
                <w:rFonts w:ascii="Calibri" w:cs="Calibri" w:eastAsia="Calibri" w:hAnsi="Calibri"/>
                <w:b w:val="false"/>
                <w:bCs w:val="false"/>
                <w:sz w:val="18"/>
                <w:szCs w:val="18"/>
              </w:rPr>
              <w:t xml:space="preserve">4</w:t>
            </w:r>
          </w:p>
        </w:tc>
      </w:tr>
      <w:tr>
        <w:tc>
          <w:tcPr>
            <w:tcW w:type="dxa" w:w="6500"/>
            <w:tcMar>
              <w:top w:type="dxa" w:w="60"/>
              <w:left w:type="dxa" w:w="90"/>
              <w:bottom w:type="dxa" w:w="60"/>
              <w:right w:type="dxa" w:w="90"/>
            </w:tcMar>
          </w:tcPr>
          <w:p>
            <w:r>
              <w:rPr>
                <w:rFonts w:ascii="Calibri" w:cs="Calibri" w:eastAsia="Calibri" w:hAnsi="Calibri"/>
                <w:b w:val="false"/>
                <w:bCs w:val="false"/>
                <w:sz w:val="18"/>
                <w:szCs w:val="18"/>
              </w:rPr>
              <w:t xml:space="preserve">17. Orientación Prosocial</w:t>
            </w:r>
          </w:p>
        </w:tc>
        <w:tc>
          <w:tcPr>
            <w:tcW w:type="dxa" w:w="2600"/>
            <w:tcMar>
              <w:top w:type="dxa" w:w="60"/>
              <w:left w:type="dxa" w:w="90"/>
              <w:bottom w:type="dxa" w:w="60"/>
              <w:right w:type="dxa" w:w="90"/>
            </w:tcMar>
          </w:tcPr>
          <w:p>
            <w:r>
              <w:rPr>
                <w:rFonts w:ascii="Calibri" w:cs="Calibri" w:eastAsia="Calibri" w:hAnsi="Calibri"/>
                <w:b w:val="false"/>
                <w:bCs w:val="false"/>
                <w:sz w:val="18"/>
                <w:szCs w:val="18"/>
              </w:rPr>
              <w:t xml:space="preserve">4</w:t>
            </w:r>
          </w:p>
        </w:tc>
      </w:tr>
      <w:tr>
        <w:tc>
          <w:tcPr>
            <w:tcW w:type="dxa" w:w="6500"/>
            <w:tcMar>
              <w:top w:type="dxa" w:w="60"/>
              <w:left w:type="dxa" w:w="90"/>
              <w:bottom w:type="dxa" w:w="60"/>
              <w:right w:type="dxa" w:w="90"/>
            </w:tcMar>
          </w:tcPr>
          <w:p>
            <w:r>
              <w:rPr>
                <w:rFonts w:ascii="Calibri" w:cs="Calibri" w:eastAsia="Calibri" w:hAnsi="Calibri"/>
                <w:b w:val="false"/>
                <w:bCs w:val="false"/>
                <w:sz w:val="18"/>
                <w:szCs w:val="18"/>
              </w:rPr>
              <w:t xml:space="preserve">18. Conflicto de Interés</w:t>
            </w:r>
          </w:p>
        </w:tc>
        <w:tc>
          <w:tcPr>
            <w:tcW w:type="dxa" w:w="2600"/>
            <w:tcMar>
              <w:top w:type="dxa" w:w="60"/>
              <w:left w:type="dxa" w:w="90"/>
              <w:bottom w:type="dxa" w:w="60"/>
              <w:right w:type="dxa" w:w="90"/>
            </w:tcMar>
          </w:tcPr>
          <w:p>
            <w:r>
              <w:rPr>
                <w:rFonts w:ascii="Calibri" w:cs="Calibri" w:eastAsia="Calibri" w:hAnsi="Calibri"/>
                <w:b w:val="false"/>
                <w:bCs w:val="false"/>
                <w:sz w:val="18"/>
                <w:szCs w:val="18"/>
              </w:rPr>
              <w:t xml:space="preserve">4</w:t>
            </w:r>
          </w:p>
        </w:tc>
      </w:tr>
      <w:tr>
        <w:tc>
          <w:tcPr>
            <w:tcW w:type="dxa" w:w="6500"/>
            <w:tcMar>
              <w:top w:type="dxa" w:w="60"/>
              <w:left w:type="dxa" w:w="90"/>
              <w:bottom w:type="dxa" w:w="60"/>
              <w:right w:type="dxa" w:w="90"/>
            </w:tcMar>
          </w:tcPr>
          <w:p>
            <w:r>
              <w:rPr>
                <w:rFonts w:ascii="Calibri" w:cs="Calibri" w:eastAsia="Calibri" w:hAnsi="Calibri"/>
                <w:b w:val="false"/>
                <w:bCs w:val="false"/>
                <w:sz w:val="18"/>
                <w:szCs w:val="18"/>
              </w:rPr>
              <w:t xml:space="preserve">19. Uso Indebido de Recursos No Físicos</w:t>
            </w:r>
          </w:p>
        </w:tc>
        <w:tc>
          <w:tcPr>
            <w:tcW w:type="dxa" w:w="2600"/>
            <w:tcMar>
              <w:top w:type="dxa" w:w="60"/>
              <w:left w:type="dxa" w:w="90"/>
              <w:bottom w:type="dxa" w:w="60"/>
              <w:right w:type="dxa" w:w="90"/>
            </w:tcMar>
          </w:tcPr>
          <w:p>
            <w:r>
              <w:rPr>
                <w:rFonts w:ascii="Calibri" w:cs="Calibri" w:eastAsia="Calibri" w:hAnsi="Calibri"/>
                <w:b w:val="false"/>
                <w:bCs w:val="false"/>
                <w:sz w:val="18"/>
                <w:szCs w:val="18"/>
              </w:rPr>
              <w:t xml:space="preserve">4</w:t>
            </w:r>
          </w:p>
        </w:tc>
      </w:tr>
      <w:tr>
        <w:tc>
          <w:tcPr>
            <w:tcW w:type="dxa" w:w="6500"/>
            <w:tcMar>
              <w:top w:type="dxa" w:w="60"/>
              <w:left w:type="dxa" w:w="90"/>
              <w:bottom w:type="dxa" w:w="60"/>
              <w:right w:type="dxa" w:w="90"/>
            </w:tcMar>
          </w:tcPr>
          <w:p>
            <w:r>
              <w:rPr>
                <w:rFonts w:ascii="Calibri" w:cs="Calibri" w:eastAsia="Calibri" w:hAnsi="Calibri"/>
                <w:b w:val="false"/>
                <w:bCs w:val="false"/>
                <w:sz w:val="18"/>
                <w:szCs w:val="18"/>
              </w:rPr>
              <w:t xml:space="preserve">20. Percepción de Impunidad</w:t>
            </w:r>
          </w:p>
        </w:tc>
        <w:tc>
          <w:tcPr>
            <w:tcW w:type="dxa" w:w="2600"/>
            <w:tcMar>
              <w:top w:type="dxa" w:w="60"/>
              <w:left w:type="dxa" w:w="90"/>
              <w:bottom w:type="dxa" w:w="60"/>
              <w:right w:type="dxa" w:w="90"/>
            </w:tcMar>
          </w:tcPr>
          <w:p>
            <w:r>
              <w:rPr>
                <w:rFonts w:ascii="Calibri" w:cs="Calibri" w:eastAsia="Calibri" w:hAnsi="Calibri"/>
                <w:b w:val="false"/>
                <w:bCs w:val="false"/>
                <w:sz w:val="18"/>
                <w:szCs w:val="18"/>
              </w:rPr>
              <w:t xml:space="preserve">4</w:t>
            </w:r>
          </w:p>
        </w:tc>
      </w:tr>
    </w:tbl>
    <w:p>
      <w:pPr>
        <w:pStyle w:val="Heading1"/>
        <w:spacing w:after="150" w:before="300"/>
      </w:pPr>
      <w:r>
        <w:t xml:space="preserve">Notas de cierre del banco de reactivos</w:t>
      </w:r>
    </w:p>
    <w:p>
      <w:pPr>
        <w:spacing w:after="140"/>
      </w:pPr>
      <w:r>
        <w:rPr>
          <w:rFonts w:ascii="Calibri" w:cs="Calibri" w:eastAsia="Calibri" w:hAnsi="Calibri"/>
          <w:sz w:val="22"/>
          <w:szCs w:val="22"/>
        </w:rPr>
        <w:t xml:space="preserve">[INFERENCIA] De los 80 reactivos, las 12 dimensiones de la familia Integridad Nuclear cuentan cada una con al menos un par espejo explícito (24 reactivos formando 12 pares), cumpliendo el requisito de la Fase 2; las 8 dimensiones de Factores Contextuales usan reactivos de contraste temático dentro de la misma dimensión, sin ser pares espejo obligatorios.</w:t>
      </w:r>
    </w:p>
    <w:p>
      <w:pPr>
        <w:spacing w:after="140"/>
      </w:pPr>
      <w:r>
        <w:rPr>
          <w:rFonts w:ascii="Calibri" w:cs="Calibri" w:eastAsia="Calibri" w:hAnsi="Calibri"/>
          <w:sz w:val="22"/>
          <w:szCs w:val="22"/>
        </w:rPr>
        <w:t xml:space="preserve">[DESCONOCIDO] La calidad psicométrica real de cada reactivo (dificultad, poder de discriminación, comportamiento de los pares espejo y de los indicadores de validez) solo puede confirmarse con datos de un estudio piloto, conforme al plan de validación de la Fase 9. Este banco debe tratarse como una versión inicial sujeta a depuración empírica, no como una versión final cerrada.</w:t>
      </w:r>
    </w:p>
    <w:p>
      <w:pPr>
        <w:spacing w:after="140"/>
      </w:pPr>
      <w:r>
        <w:rPr>
          <w:rFonts w:ascii="Calibri" w:cs="Calibri" w:eastAsia="Calibri" w:hAnsi="Calibri"/>
          <w:sz w:val="22"/>
          <w:szCs w:val="22"/>
        </w:rPr>
        <w:t xml:space="preserve">[HECHO] Con el cierre de esta fase, el proyecto avanza a la Fase 6 (matriz de scoring en Excel y modelo de cálculo en Word), que traducirá cada uno de estos 80 reactivos, sus valores psicométricos y sus reglas de dirección/espejo/validez en una fórmula operativa completa.</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2026-09-07T03:24:30.301Z</dcterms:created>
  <dcterms:modified xsi:type="dcterms:W3CDTF">2026-09-07T03:24:30.302Z</dcterms:modified>
</cp:coreProperties>
</file>

<file path=docProps/custom.xml><?xml version="1.0" encoding="utf-8"?>
<Properties xmlns="http://schemas.openxmlformats.org/officeDocument/2006/custom-properties" xmlns:vt="http://schemas.openxmlformats.org/officeDocument/2006/docPropsVTypes"/>
</file>