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Fase 6 — Modelo de Cálculo</w:t>
      </w:r>
    </w:p>
    <w:p>
      <w:pPr>
        <w:spacing w:after="140"/>
      </w:pPr>
      <w:r>
        <w:rPr>
          <w:rFonts w:ascii="Calibri" w:cs="Calibri" w:eastAsia="Calibri" w:hAnsi="Calibri"/>
          <w:i/>
          <w:iCs/>
          <w:sz w:val="22"/>
          <w:szCs w:val="22"/>
        </w:rPr>
        <w:t xml:space="preserve">[NOMBRE DEL INSTRUMENTO] — Nuevo instrumento de evaluación de integridad laboral</w:t>
      </w:r>
    </w:p>
    <w:p>
      <w:pPr>
        <w:spacing w:after="140"/>
      </w:pPr>
      <w:r>
        <w:rPr>
          <w:rFonts w:ascii="Calibri" w:cs="Calibri" w:eastAsia="Calibri" w:hAnsi="Calibri"/>
          <w:sz w:val="22"/>
          <w:szCs w:val="22"/>
        </w:rPr>
        <w:t xml:space="preserve">Preparado para: George (jsuasnavas@gmail.com)</w:t>
      </w:r>
    </w:p>
    <w:p>
      <w:pPr>
        <w:spacing w:after="140"/>
      </w:pPr>
      <w:r>
        <w:rPr>
          <w:rFonts w:ascii="Calibri" w:cs="Calibri" w:eastAsia="Calibri" w:hAnsi="Calibri"/>
          <w:sz w:val="22"/>
          <w:szCs w:val="22"/>
        </w:rPr>
        <w:t xml:space="preserve">Fecha: 6 de septiembre de 2026</w:t>
      </w:r>
    </w:p>
    <w:p>
      <w:pPr>
        <w:spacing w:after="140"/>
      </w:pPr>
      <w:r>
        <w:rPr>
          <w:rFonts w:ascii="Calibri" w:cs="Calibri" w:eastAsia="Calibri" w:hAnsi="Calibri"/>
          <w:sz w:val="22"/>
          <w:szCs w:val="22"/>
        </w:rPr>
        <w:t xml:space="preserve">Este documento describe en prosa la fórmula completa de cálculo del instrumento, desde la respuesta cruda de un reactivo hasta el índice general, y el tratamiento de invalidación parcial y total heredado de los 4 indicadores de validez definidos en la Fase 2. Se complementa con Fase6_Matriz_Scoring.xlsx, que implementa esta misma fórmula como un modelo de hoja de cálculo funcional, con fórmulas en vivo y valores parametrizables.</w:t>
      </w:r>
    </w:p>
    <w:p>
      <w:pPr>
        <w:spacing w:after="140"/>
      </w:pPr>
      <w:r>
        <w:rPr>
          <w:rFonts w:ascii="Calibri" w:cs="Calibri" w:eastAsia="Calibri" w:hAnsi="Calibri"/>
          <w:sz w:val="22"/>
          <w:szCs w:val="22"/>
        </w:rPr>
        <w:t xml:space="preserve">Convención de evidencia: [HECHO] = decisión ya aprobada por George en DECISIONS.md · [INFERENCIA] = derivado lógicamente de una decisión aprobada · [HIPÓTESIS] = elección razonable del equipo de diseño, no validada aún empíricamente · [DESCONOCIDO] = pendiente de dato piloto.</w:t>
      </w:r>
    </w:p>
    <w:p>
      <w:pPr>
        <w:pStyle w:val="Heading1"/>
        <w:spacing w:after="150" w:before="300"/>
      </w:pPr>
      <w:r>
        <w:t xml:space="preserve">1. Nombre del índice: Índice General de Integridad (IGI)</w:t>
      </w:r>
    </w:p>
    <w:p>
      <w:pPr>
        <w:spacing w:after="140"/>
      </w:pPr>
      <w:r>
        <w:rPr>
          <w:rFonts w:ascii="Calibri" w:cs="Calibri" w:eastAsia="Calibri" w:hAnsi="Calibri"/>
          <w:b/>
          <w:bCs/>
          <w:sz w:val="22"/>
          <w:szCs w:val="22"/>
        </w:rPr>
        <w:t xml:space="preserve">[HECHO] </w:t>
      </w:r>
      <w:r>
        <w:rPr>
          <w:rFonts w:ascii="Calibri" w:cs="Calibri" w:eastAsia="Calibri" w:hAnsi="Calibri"/>
          <w:sz w:val="22"/>
          <w:szCs w:val="22"/>
        </w:rPr>
        <w:t xml:space="preserve">DECISIONS.md establece que el instrumento se lanza con un modelo estadístico de Teoría Clásica de los Tests (TCT), con un puntaje ponderado de filosofía equivalente al RGI del instrumento de referencia analizado en la Fase 1, pero con nombre, fórmula y tabla de valores propios y documentados desde el diseño.</w:t>
      </w:r>
    </w:p>
    <w:p>
      <w:pPr>
        <w:spacing w:after="140"/>
      </w:pPr>
      <w:r>
        <w:rPr>
          <w:rFonts w:ascii="Calibri" w:cs="Calibri" w:eastAsia="Calibri" w:hAnsi="Calibri"/>
          <w:sz w:val="22"/>
          <w:szCs w:val="22"/>
        </w:rPr>
        <w:t xml:space="preserve">Este documento nombra ese puntaje ponderado Índice General de Integridad (IGI). El IGI es, por construcción, un índice de riesgo: sus valores más altos representan mayor riesgo de deshonestidad laboral, no mayor integridad. Esta convención se explica en la Sección 5. Toda mención al 'índice general' en las Fases 1, 2, 7, 8, 9 y 10 se refiere a este mismo IGI.</w:t>
      </w:r>
    </w:p>
    <w:p>
      <w:pPr>
        <w:pStyle w:val="Heading1"/>
        <w:spacing w:after="150" w:before="300"/>
      </w:pPr>
      <w:r>
        <w:t xml:space="preserve">2. Paso 1 — De la respuesta cruda al valor de reactivo</w:t>
      </w:r>
    </w:p>
    <w:p>
      <w:pPr>
        <w:spacing w:after="140"/>
      </w:pPr>
      <w:r>
        <w:rPr>
          <w:rFonts w:ascii="Calibri" w:cs="Calibri" w:eastAsia="Calibri" w:hAnsi="Calibri"/>
          <w:sz w:val="22"/>
          <w:szCs w:val="22"/>
        </w:rPr>
        <w:t xml:space="preserve">Cada uno de los 80 reactivos del banco (Fases 3-5) tiene una escala de respuesta cruda de 0 a un valor máximo propio (3 o 4, según el número de alternativas del reactivo, documentado en la columna 'Valor max crudo' de Fase6_Matriz_Scoring.xlsx), y una dirección declarada en el mismo archivo: Directo o Inverso (definidas en la Fase 2, Sección 3).</w:t>
      </w:r>
    </w:p>
    <w:p>
      <w:pPr>
        <w:pBdr>
          <w:top w:val="single" w:color="BFBFBF" w:sz="4"/>
          <w:bottom w:val="single" w:color="BFBFBF" w:sz="4"/>
          <w:left w:val="single" w:color="BFBFBF" w:sz="4"/>
          <w:right w:val="single" w:color="BFBFBF" w:sz="4"/>
        </w:pBdr>
        <w:shd w:fill="F2F2F2" w:val="clear"/>
        <w:spacing w:after="160" w:before="80"/>
      </w:pPr>
      <w:r>
        <w:rPr>
          <w:rFonts w:ascii="Consolas" w:cs="Consolas" w:eastAsia="Consolas" w:hAnsi="Consolas"/>
          <w:sz w:val="20"/>
          <w:szCs w:val="20"/>
        </w:rPr>
        <w:t xml:space="preserve">Valor_reactivo = SI(Dirección = "Inverso", Valor_max − Respuesta_cruda, Respuesta_cruda)</w:t>
      </w:r>
    </w:p>
    <w:p>
      <w:pPr>
        <w:spacing w:after="140"/>
      </w:pPr>
      <w:r>
        <w:rPr>
          <w:rFonts w:ascii="Calibri" w:cs="Calibri" w:eastAsia="Calibri" w:hAnsi="Calibri"/>
          <w:sz w:val="22"/>
          <w:szCs w:val="22"/>
        </w:rPr>
        <w:t xml:space="preserve">Esta transformación asegura que, sin importar si el reactivo fue redactado en dirección directa o inversa, Valor_reactivo siempre queda en la misma orientación: 0 representa la respuesta de menor riesgo posible para ese reactivo, y Valor_max representa la respuesta de mayor riesgo posible.</w:t>
      </w:r>
    </w:p>
    <w:p>
      <w:pPr>
        <w:pStyle w:val="Heading1"/>
        <w:spacing w:after="150" w:before="300"/>
      </w:pPr>
      <w:r>
        <w:t xml:space="preserve">3. Paso 2 — Normalización del reactivo (0 a 1)</w:t>
      </w:r>
    </w:p>
    <w:p>
      <w:pPr>
        <w:spacing w:after="140"/>
      </w:pPr>
      <w:r>
        <w:rPr>
          <w:rFonts w:ascii="Calibri" w:cs="Calibri" w:eastAsia="Calibri" w:hAnsi="Calibri"/>
          <w:sz w:val="22"/>
          <w:szCs w:val="22"/>
        </w:rPr>
        <w:t xml:space="preserve">Como los reactivos no comparten el mismo número de alternativas (algunos van de 0 a 3, otros de 0 a 4, y algunos son de selección forzada binaria con valores 0/3), cada Valor_reactivo se normaliza dividiéndolo entre su propio máximo, para que todos los reactivos aporten en la misma escala de 0 a 1 antes de agregarse:</w:t>
      </w:r>
    </w:p>
    <w:p>
      <w:pPr>
        <w:pBdr>
          <w:top w:val="single" w:color="BFBFBF" w:sz="4"/>
          <w:bottom w:val="single" w:color="BFBFBF" w:sz="4"/>
          <w:left w:val="single" w:color="BFBFBF" w:sz="4"/>
          <w:right w:val="single" w:color="BFBFBF" w:sz="4"/>
        </w:pBdr>
        <w:shd w:fill="F2F2F2" w:val="clear"/>
        <w:spacing w:after="160" w:before="80"/>
      </w:pPr>
      <w:r>
        <w:rPr>
          <w:rFonts w:ascii="Consolas" w:cs="Consolas" w:eastAsia="Consolas" w:hAnsi="Consolas"/>
          <w:sz w:val="20"/>
          <w:szCs w:val="20"/>
        </w:rPr>
        <w:t xml:space="preserve">Valor_normalizado = Valor_reactivo / Valor_max</w:t>
      </w:r>
    </w:p>
    <w:p>
      <w:pPr>
        <w:spacing w:after="140"/>
      </w:pPr>
      <w:r>
        <w:rPr>
          <w:rFonts w:ascii="Calibri" w:cs="Calibri" w:eastAsia="Calibri" w:hAnsi="Calibri"/>
          <w:sz w:val="22"/>
          <w:szCs w:val="22"/>
        </w:rPr>
        <w:t xml:space="preserve">[HECHO] Esta normalización es la que permite que la escala de opción variable (2 a 6 alternativas, DECISIONS.md punto 2) conviva con una fórmula de agregación única, en vez de forzar a todos los reactivos a la misma cantidad de alternativas.</w:t>
      </w:r>
    </w:p>
    <w:p>
      <w:pPr>
        <w:pStyle w:val="Heading1"/>
        <w:spacing w:after="150" w:before="300"/>
      </w:pPr>
      <w:r>
        <w:t xml:space="preserve">4. Paso 3 — Agregación a nivel de dimensión</w:t>
      </w:r>
    </w:p>
    <w:p>
      <w:pPr>
        <w:spacing w:after="140"/>
      </w:pPr>
      <w:r>
        <w:rPr>
          <w:rFonts w:ascii="Calibri" w:cs="Calibri" w:eastAsia="Calibri" w:hAnsi="Calibri"/>
          <w:sz w:val="22"/>
          <w:szCs w:val="22"/>
        </w:rPr>
        <w:t xml:space="preserve">El puntaje de cada una de las 20 dimensiones se calcula como el promedio simple de los Valores_normalizados de sus reactivos (4 reactivos por dimensión en la versión actual del banco):</w:t>
      </w:r>
    </w:p>
    <w:p>
      <w:pPr>
        <w:pBdr>
          <w:top w:val="single" w:color="BFBFBF" w:sz="4"/>
          <w:bottom w:val="single" w:color="BFBFBF" w:sz="4"/>
          <w:left w:val="single" w:color="BFBFBF" w:sz="4"/>
          <w:right w:val="single" w:color="BFBFBF" w:sz="4"/>
        </w:pBdr>
        <w:shd w:fill="F2F2F2" w:val="clear"/>
        <w:spacing w:after="160" w:before="80"/>
      </w:pPr>
      <w:r>
        <w:rPr>
          <w:rFonts w:ascii="Consolas" w:cs="Consolas" w:eastAsia="Consolas" w:hAnsi="Consolas"/>
          <w:sz w:val="20"/>
          <w:szCs w:val="20"/>
        </w:rPr>
        <w:t xml:space="preserve">Puntaje_dimensión = PROMEDIO(Valor_normalizado de los reactivos de esa dimensión)</w:t>
      </w:r>
    </w:p>
    <w:p>
      <w:pPr>
        <w:spacing w:after="140"/>
      </w:pPr>
      <w:r>
        <w:rPr>
          <w:rFonts w:ascii="Calibri" w:cs="Calibri" w:eastAsia="Calibri" w:hAnsi="Calibri"/>
          <w:sz w:val="22"/>
          <w:szCs w:val="22"/>
        </w:rPr>
        <w:t xml:space="preserve">[INFERENCIA] Se usa un promedio simple, y no una suma directa, precisamente porque ya se trabajó con valores normalizados 0-1 en el Paso 2; esto mantiene el Puntaje_dimensión también en una escala de 0 a 1, comparable entre dimensiones con distinto número de alternativas por reactivo.</w:t>
      </w:r>
    </w:p>
    <w:p>
      <w:pPr>
        <w:pStyle w:val="Heading1"/>
        <w:spacing w:after="150" w:before="300"/>
      </w:pPr>
      <w:r>
        <w:t xml:space="preserve">5. Paso 4 — Ponderación por dimensión y cálculo del IGI</w:t>
      </w:r>
    </w:p>
    <w:p>
      <w:pPr>
        <w:spacing w:after="140"/>
      </w:pPr>
      <w:r>
        <w:rPr>
          <w:rFonts w:ascii="Calibri" w:cs="Calibri" w:eastAsia="Calibri" w:hAnsi="Calibri"/>
          <w:b/>
          <w:bCs/>
          <w:sz w:val="22"/>
          <w:szCs w:val="22"/>
        </w:rPr>
        <w:t xml:space="preserve">[HECHO] </w:t>
      </w:r>
      <w:r>
        <w:rPr>
          <w:rFonts w:ascii="Calibri" w:cs="Calibri" w:eastAsia="Calibri" w:hAnsi="Calibri"/>
          <w:sz w:val="22"/>
          <w:szCs w:val="22"/>
        </w:rPr>
        <w:t xml:space="preserve">Conforme a la familia de scoring definida en la Fase 1 (Sección 1), únicamente las 12 dimensiones de la familia Integridad Nuclear alimentan el índice general; las 8 dimensiones de Factores Contextuales se calculan y se reportan (Puntaje_dimensión, igual que las demás), pero no se suman al IGI.</w:t>
      </w:r>
    </w:p>
    <w:p>
      <w:pPr>
        <w:pBdr>
          <w:top w:val="single" w:color="BFBFBF" w:sz="4"/>
          <w:bottom w:val="single" w:color="BFBFBF" w:sz="4"/>
          <w:left w:val="single" w:color="BFBFBF" w:sz="4"/>
          <w:right w:val="single" w:color="BFBFBF" w:sz="4"/>
        </w:pBdr>
        <w:shd w:fill="F2F2F2" w:val="clear"/>
        <w:spacing w:after="160" w:before="80"/>
      </w:pPr>
      <w:r>
        <w:rPr>
          <w:rFonts w:ascii="Consolas" w:cs="Consolas" w:eastAsia="Consolas" w:hAnsi="Consolas"/>
          <w:sz w:val="20"/>
          <w:szCs w:val="20"/>
        </w:rPr>
        <w:t xml:space="preserve">IGI = SUMATORIA, para cada dimensión Nuclear i, de (Puntaje_dimensión_i × Peso_dimensión_i)</w:t>
      </w:r>
    </w:p>
    <w:p>
      <w:pPr>
        <w:spacing w:after="140"/>
      </w:pPr>
      <w:r>
        <w:rPr>
          <w:rFonts w:ascii="Calibri" w:cs="Calibri" w:eastAsia="Calibri" w:hAnsi="Calibri"/>
          <w:sz w:val="22"/>
          <w:szCs w:val="22"/>
        </w:rPr>
        <w:t xml:space="preserve">Donde Peso_dimensión_i es un valor parametrizable definido en la hoja Pesos_Dimensiones de Fase6_Matriz_Scoring.xlsx, con la restricción de que la suma de los 12 pesos de las dimensiones Nucleares sea siempre 100%. [HIPÓTESIS] La versión inicial de este documento asigna igual peso a las 12 dimensiones (1/12 ≈ 8.33% cada una), a falta de evidencia empírica que justifique ponderar una dimensión más que otra; este esquema de pesos iguales debe revisarse con los resultados del análisis factorial de la Fase 9, que podría sugerir que ciertas dimensiones capturan una porción mayor o menor de la varianza del constructo general de integridad.</w:t>
      </w:r>
    </w:p>
    <w:p>
      <w:pPr>
        <w:spacing w:after="140"/>
      </w:pPr>
      <w:r>
        <w:rPr>
          <w:rFonts w:ascii="Calibri" w:cs="Calibri" w:eastAsia="Calibri" w:hAnsi="Calibri"/>
          <w:sz w:val="22"/>
          <w:szCs w:val="22"/>
        </w:rPr>
        <w:t xml:space="preserve">El IGI resultante queda en una escala continua de 0 a 1 (o, multiplicado por 100, de 0 a 100), reportable en ambas capas de salida del producto (perfil individual y reporte empresarial, ver Fase 7 y Fase 10).</w:t>
      </w:r>
    </w:p>
    <w:p>
      <w:pPr>
        <w:spacing w:after="140"/>
      </w:pPr>
      <w:r>
        <w:rPr>
          <w:rFonts w:ascii="Calibri" w:cs="Calibri" w:eastAsia="Calibri" w:hAnsi="Calibri"/>
          <w:sz w:val="22"/>
          <w:szCs w:val="22"/>
        </w:rPr>
        <w:t xml:space="preserve">Las 8 dimensiones de Factores Contextuales se reportan de forma independiente, cada una con su propio Puntaje_dimensión (0 a 1), y opcionalmente con un 'peso como moderador' (también parametrizable, por defecto 1/8 cada una) que sirve únicamente para fines de presentación relativa entre ellas, sin combinarse aritméticamente con el IGI. [INFERENCIA] Esto preserva la distinción funcional Integridad Nuclear / Factores Contextuales definida en la Fase 1: los factores contextuales informan el contexto de riesgo de una persona, pero no la incriminan directamente ni penalizan su índice general de integridad.</w:t>
      </w:r>
    </w:p>
    <w:p>
      <w:pPr>
        <w:pStyle w:val="Heading1"/>
        <w:spacing w:after="150" w:before="300"/>
      </w:pPr>
      <w:r>
        <w:t xml:space="preserve">6. Fórmula completa consolidada</w:t>
      </w:r>
    </w:p>
    <w:p>
      <w:pPr>
        <w:pBdr>
          <w:top w:val="single" w:color="BFBFBF" w:sz="4"/>
          <w:bottom w:val="single" w:color="BFBFBF" w:sz="4"/>
          <w:left w:val="single" w:color="BFBFBF" w:sz="4"/>
          <w:right w:val="single" w:color="BFBFBF" w:sz="4"/>
        </w:pBdr>
        <w:shd w:fill="F2F2F2" w:val="clear"/>
        <w:spacing w:after="160" w:before="80"/>
      </w:pPr>
      <w:r>
        <w:rPr>
          <w:rFonts w:ascii="Consolas" w:cs="Consolas" w:eastAsia="Consolas" w:hAnsi="Consolas"/>
          <w:sz w:val="20"/>
          <w:szCs w:val="20"/>
        </w:rPr>
        <w:t xml:space="preserve">IGI = Σ_i∈Nucleares [ Peso_i × PROMEDIO_j∈reactivos(i) ( ( SI(Dirección_j="Inverso", Max_j − Cruda_j, Cruda_j) ) / Max_j ) ]</w:t>
      </w:r>
    </w:p>
    <w:p>
      <w:pPr>
        <w:spacing w:after="140"/>
      </w:pPr>
      <w:r>
        <w:rPr>
          <w:rFonts w:ascii="Calibri" w:cs="Calibri" w:eastAsia="Calibri" w:hAnsi="Calibri"/>
          <w:sz w:val="22"/>
          <w:szCs w:val="22"/>
        </w:rPr>
        <w:t xml:space="preserve">En palabras: para cada dimensión Nuclear, se toma cada uno de sus reactivos, se ajusta la respuesta cruda según su dirección, se normaliza contra su valor máximo, se promedian los reactivos de esa dimensión, y ese promedio se multiplica por el peso de la dimensión; la suma de esos 12 productos es el IGI.</w:t>
      </w:r>
    </w:p>
    <w:p>
      <w:pPr>
        <w:pStyle w:val="Heading1"/>
        <w:spacing w:after="150" w:before="300"/>
      </w:pPr>
      <w:r>
        <w:t xml:space="preserve">7. Convención de interpretación: índice de riesgo vs. índice de integridad</w:t>
      </w:r>
    </w:p>
    <w:p>
      <w:pPr>
        <w:spacing w:after="140"/>
      </w:pPr>
      <w:r>
        <w:rPr>
          <w:rFonts w:ascii="Calibri" w:cs="Calibri" w:eastAsia="Calibri" w:hAnsi="Calibri"/>
          <w:sz w:val="22"/>
          <w:szCs w:val="22"/>
        </w:rPr>
        <w:t xml:space="preserve">[HECHO] Por la forma en que se definieron los reactivos (0 = respuesta de menor riesgo, Max = respuesta de mayor riesgo, en ambas capas del brief original de George), el IGI tal como se calcula arriba es un índice de riesgo: valores más altos indican mayor riesgo de deshonestidad.</w:t>
      </w:r>
    </w:p>
    <w:p>
      <w:pPr>
        <w:spacing w:after="140"/>
      </w:pPr>
      <w:r>
        <w:rPr>
          <w:rFonts w:ascii="Calibri" w:cs="Calibri" w:eastAsia="Calibri" w:hAnsi="Calibri"/>
          <w:sz w:val="22"/>
          <w:szCs w:val="22"/>
        </w:rPr>
        <w:t xml:space="preserve">Para la capa de salida orientada al público general (perfil de integridad viral, ver Fase 10), donde es más natural comunicar un puntaje de integridad en vez de un puntaje de riesgo, se define un Índice de Integridad Complementario (IIC) como:</w:t>
      </w:r>
    </w:p>
    <w:p>
      <w:pPr>
        <w:pBdr>
          <w:top w:val="single" w:color="BFBFBF" w:sz="4"/>
          <w:bottom w:val="single" w:color="BFBFBF" w:sz="4"/>
          <w:left w:val="single" w:color="BFBFBF" w:sz="4"/>
          <w:right w:val="single" w:color="BFBFBF" w:sz="4"/>
        </w:pBdr>
        <w:shd w:fill="F2F2F2" w:val="clear"/>
        <w:spacing w:after="160" w:before="80"/>
      </w:pPr>
      <w:r>
        <w:rPr>
          <w:rFonts w:ascii="Consolas" w:cs="Consolas" w:eastAsia="Consolas" w:hAnsi="Consolas"/>
          <w:sz w:val="20"/>
          <w:szCs w:val="20"/>
        </w:rPr>
        <w:t xml:space="preserve">IIC = 1 − IGI       (o, en escala 0-100:  IIC = 100 − IGI)</w:t>
      </w:r>
    </w:p>
    <w:p>
      <w:pPr>
        <w:spacing w:after="140"/>
      </w:pPr>
      <w:r>
        <w:rPr>
          <w:rFonts w:ascii="Calibri" w:cs="Calibri" w:eastAsia="Calibri" w:hAnsi="Calibri"/>
          <w:sz w:val="22"/>
          <w:szCs w:val="22"/>
        </w:rPr>
        <w:t xml:space="preserve">Ambos índices (IGI e IIC) son matemáticamente equivalentes y se derivan del mismo cálculo; la elección de cuál mostrar depende únicamente de la capa de producto (empresarial = IGI, orientado a riesgo; individual = IIC, orientado a fortalezas), no de un cambio en el modelo de medición.</w:t>
      </w:r>
    </w:p>
    <w:p>
      <w:pPr>
        <w:pStyle w:val="Heading1"/>
        <w:spacing w:after="150" w:before="300"/>
      </w:pPr>
      <w:r>
        <w:t xml:space="preserve">8. Tratamiento de invalidación parcial y total</w:t>
      </w:r>
    </w:p>
    <w:p>
      <w:pPr>
        <w:spacing w:after="140"/>
      </w:pPr>
      <w:r>
        <w:rPr>
          <w:rFonts w:ascii="Calibri" w:cs="Calibri" w:eastAsia="Calibri" w:hAnsi="Calibri"/>
          <w:b/>
          <w:bCs/>
          <w:sz w:val="22"/>
          <w:szCs w:val="22"/>
        </w:rPr>
        <w:t xml:space="preserve">[HECHO] </w:t>
      </w:r>
      <w:r>
        <w:rPr>
          <w:rFonts w:ascii="Calibri" w:cs="Calibri" w:eastAsia="Calibri" w:hAnsi="Calibri"/>
          <w:sz w:val="22"/>
          <w:szCs w:val="22"/>
        </w:rPr>
        <w:t xml:space="preserve">PLAN.md exige que este documento defina el tratamiento de invalidación parcial (una dimensión) y total (todo el test), heredando la lógica confirmada en el análisis del instrumento de referencia, pero formulada aquí como regla propia y ya introducida conceptualmente en la Fase 2 (Sección 5.5).</w:t>
      </w:r>
    </w:p>
    <w:p>
      <w:pPr>
        <w:pStyle w:val="Heading2"/>
        <w:spacing w:after="120" w:before="240"/>
      </w:pPr>
      <w:r>
        <w:t xml:space="preserve">8.1 Invalidación parcial de una dimensión</w:t>
      </w:r>
    </w:p>
    <w:p>
      <w:pPr>
        <w:spacing w:after="140"/>
      </w:pPr>
      <w:r>
        <w:rPr>
          <w:rFonts w:ascii="Calibri" w:cs="Calibri" w:eastAsia="Calibri" w:hAnsi="Calibri"/>
          <w:sz w:val="22"/>
          <w:szCs w:val="22"/>
        </w:rPr>
        <w:t xml:space="preserve">Cuando uno de los 4 indicadores de validez de la Fase 2 (Azarosidad, Omisión, Aquiescencia o Contradicción) marca una dimensión específica como no concluyente, esa dimensión se excluye del cálculo del IGI de la siguiente manera:</w:t>
      </w:r>
    </w:p>
    <w:p>
      <w:pPr>
        <w:pStyle w:val="ListParagraph"/>
        <w:numPr>
          <w:ilvl w:val="0"/>
          <w:numId w:val="2"/>
        </w:numPr>
        <w:spacing w:after="80"/>
      </w:pPr>
      <w:r>
        <w:rPr>
          <w:rFonts w:ascii="Calibri" w:cs="Calibri" w:eastAsia="Calibri" w:hAnsi="Calibri"/>
          <w:sz w:val="22"/>
          <w:szCs w:val="22"/>
        </w:rPr>
        <w:t xml:space="preserve">Su Puntaje_dimensión no entra en la sumatoria de la Sección 5, y su Peso_dimensión se excluye del denominador.</w:t>
      </w:r>
    </w:p>
    <w:p>
      <w:pPr>
        <w:pStyle w:val="ListParagraph"/>
        <w:numPr>
          <w:ilvl w:val="0"/>
          <w:numId w:val="2"/>
        </w:numPr>
        <w:spacing w:after="80"/>
      </w:pPr>
      <w:r>
        <w:rPr>
          <w:rFonts w:ascii="Calibri" w:cs="Calibri" w:eastAsia="Calibri" w:hAnsi="Calibri"/>
          <w:sz w:val="22"/>
          <w:szCs w:val="22"/>
        </w:rPr>
        <w:t xml:space="preserve">Los pesos de las demás dimensiones Nucleares válidas se renormalizan proporcionalmente, de modo que sigan sumando 100% entre sí. Por ejemplo, si una de las 12 dimensiones Nucleares queda invalidada, cada una de las 11 restantes pasa a pesar Peso_original_i / (1 − Peso_dimensión_invalidada), en vez de dejar el IGI calculado sobre una base de menos de 100%.</w:t>
      </w:r>
    </w:p>
    <w:p>
      <w:pPr>
        <w:pStyle w:val="ListParagraph"/>
        <w:numPr>
          <w:ilvl w:val="0"/>
          <w:numId w:val="2"/>
        </w:numPr>
        <w:spacing w:after="80"/>
      </w:pPr>
      <w:r>
        <w:rPr>
          <w:rFonts w:ascii="Calibri" w:cs="Calibri" w:eastAsia="Calibri" w:hAnsi="Calibri"/>
          <w:sz w:val="22"/>
          <w:szCs w:val="22"/>
        </w:rPr>
        <w:t xml:space="preserve">El reporte de salida (Fase 7) debe indicar explícitamente qué dimensión(es) quedaron marcadas como 'no concluyente' y que el IGI de esa aplicación se calculó sobre una base de N-1 (o menos) dimensiones Nucleares, para que quien lo lea entienda que no es directamente comparable con un IGI calculado sobre las 12 dimensiones completas.</w:t>
      </w:r>
    </w:p>
    <w:p>
      <w:pPr>
        <w:pStyle w:val="Heading2"/>
        <w:spacing w:after="120" w:before="240"/>
      </w:pPr>
      <w:r>
        <w:t xml:space="preserve">8.2 Invalidación total del protocolo</w:t>
      </w:r>
    </w:p>
    <w:p>
      <w:pPr>
        <w:spacing w:after="140"/>
      </w:pPr>
      <w:r>
        <w:rPr>
          <w:rFonts w:ascii="Calibri" w:cs="Calibri" w:eastAsia="Calibri" w:hAnsi="Calibri"/>
          <w:sz w:val="22"/>
          <w:szCs w:val="22"/>
        </w:rPr>
        <w:t xml:space="preserve">Cuando se cumple la condición de invalidación total definida en la Fase 2 (2 o más indicadores de validez superan simultáneamente su umbral, o un único indicador supera su propio umbral de invalidación total), no se calcula ni se reporta ningún IGI numérico para esa aplicación.</w:t>
      </w:r>
    </w:p>
    <w:p>
      <w:pPr>
        <w:pStyle w:val="ListParagraph"/>
        <w:numPr>
          <w:ilvl w:val="0"/>
          <w:numId w:val="2"/>
        </w:numPr>
        <w:spacing w:after="80"/>
      </w:pPr>
      <w:r>
        <w:rPr>
          <w:rFonts w:ascii="Calibri" w:cs="Calibri" w:eastAsia="Calibri" w:hAnsi="Calibri"/>
          <w:sz w:val="22"/>
          <w:szCs w:val="22"/>
        </w:rPr>
        <w:t xml:space="preserve">El sistema debe mostrar únicamente un estado de 'Resultado no válido' con la razón (o razones) de invalidación, sin IGI, sin IIC y sin puntajes de dimensión individuales, en ninguna de las dos capas de producto.</w:t>
      </w:r>
    </w:p>
    <w:p>
      <w:pPr>
        <w:pStyle w:val="ListParagraph"/>
        <w:numPr>
          <w:ilvl w:val="0"/>
          <w:numId w:val="2"/>
        </w:numPr>
        <w:spacing w:after="80"/>
      </w:pPr>
      <w:r>
        <w:rPr>
          <w:rFonts w:ascii="Calibri" w:cs="Calibri" w:eastAsia="Calibri" w:hAnsi="Calibri"/>
          <w:sz w:val="22"/>
          <w:szCs w:val="22"/>
        </w:rPr>
        <w:t xml:space="preserve">Un resultado invalidado totalmente puede conservarse internamente con fines de auditoría (para detectar, por ejemplo, patrones sistemáticos de invalidación en cierto grupo de candidatos), pero nunca debe usarse como insumo de una decisión de selección o gestión de personal en la capa empresarial, ni mostrarse como un perfil válido en la capa individual.</w:t>
      </w:r>
    </w:p>
    <w:p>
      <w:pPr>
        <w:pStyle w:val="ListParagraph"/>
        <w:numPr>
          <w:ilvl w:val="0"/>
          <w:numId w:val="2"/>
        </w:numPr>
        <w:spacing w:after="80"/>
      </w:pPr>
      <w:r>
        <w:rPr>
          <w:rFonts w:ascii="Calibri" w:cs="Calibri" w:eastAsia="Calibri" w:hAnsi="Calibri"/>
          <w:sz w:val="22"/>
          <w:szCs w:val="22"/>
        </w:rPr>
        <w:t xml:space="preserve">Se debe ofrecer a la persona la opción de repetir el protocolo completo (no solo la parte invalidada), dado que la invalidación total compromete la interpretabilidad del conjunto, no de una parte aislada.</w:t>
      </w:r>
    </w:p>
    <w:p>
      <w:pPr>
        <w:spacing w:after="140"/>
      </w:pPr>
      <w:r>
        <w:rPr>
          <w:rFonts w:ascii="Calibri" w:cs="Calibri" w:eastAsia="Calibri" w:hAnsi="Calibri"/>
          <w:sz w:val="22"/>
          <w:szCs w:val="22"/>
        </w:rPr>
        <w:t xml:space="preserve">[DESCONOCIDO] Los umbrales numéricos exactos que activan cada tipo de invalidación (definidos como [HIPÓTESIS] en la Fase 2, Sección 5) no están automatizados en la versión actual de Fase6_Matriz_Scoring.xlsx; su implementación en un sistema de aplicación real requiere una capa de lógica adicional (fuera del alcance de este documento de diseño) y deben recalibrarse con datos piloto reales conforme al plan de validación de la Fase 9.</w:t>
      </w:r>
    </w:p>
    <w:p>
      <w:pPr>
        <w:pStyle w:val="Heading1"/>
        <w:spacing w:after="150" w:before="300"/>
      </w:pPr>
      <w:r>
        <w:t xml:space="preserve">9. Relación con la Fase 7 y siguientes</w:t>
      </w:r>
    </w:p>
    <w:p>
      <w:pPr>
        <w:spacing w:after="140"/>
      </w:pPr>
      <w:r>
        <w:rPr>
          <w:rFonts w:ascii="Calibri" w:cs="Calibri" w:eastAsia="Calibri" w:hAnsi="Calibri"/>
          <w:sz w:val="22"/>
          <w:szCs w:val="22"/>
        </w:rPr>
        <w:t xml:space="preserve">[HECHO] La Fase 7 aplicará esta fórmula completa, paso a paso, a un candidato ficticio con respuestas de ejemplo, mostrando el recorrido desde la respuesta cruda hasta el IGI/IIC final y la comparación normativa (con placeholder de norma, ya que aún no existen datos piloto reales, conforme a DECISIONS.md punto 6). La Fase 8 documentará cómo se calculará la norma real (percentiles o puntuaciones Z) una vez exista una muestra piloto, y la Fase 9 documentará cómo se validará y recalibrará empíricamente todo lo definido en este documento.</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2026-09-07T03:29:53.630Z</dcterms:created>
  <dcterms:modified xsi:type="dcterms:W3CDTF">2026-09-07T03:29:53.630Z</dcterms:modified>
</cp:coreProperties>
</file>

<file path=docProps/custom.xml><?xml version="1.0" encoding="utf-8"?>
<Properties xmlns="http://schemas.openxmlformats.org/officeDocument/2006/custom-properties" xmlns:vt="http://schemas.openxmlformats.org/officeDocument/2006/docPropsVTypes"/>
</file>