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Fase 9 — Plan de Validación Psicométrica</w:t>
      </w:r>
    </w:p>
    <w:p>
      <w:pPr>
        <w:spacing w:after="140"/>
      </w:pPr>
      <w:r>
        <w:rPr>
          <w:rFonts w:ascii="Calibri" w:cs="Calibri" w:eastAsia="Calibri" w:hAnsi="Calibri"/>
          <w:i/>
          <w:iCs/>
          <w:sz w:val="22"/>
          <w:szCs w:val="22"/>
        </w:rPr>
        <w:t xml:space="preserve">[NOMBRE DEL INSTRUMENTO] — Nuevo instrumento de evaluación de integridad laboral</w:t>
      </w:r>
    </w:p>
    <w:p>
      <w:pPr>
        <w:spacing w:after="140"/>
      </w:pPr>
      <w:r>
        <w:rPr>
          <w:rFonts w:ascii="Calibri" w:cs="Calibri" w:eastAsia="Calibri" w:hAnsi="Calibri"/>
          <w:sz w:val="22"/>
          <w:szCs w:val="22"/>
        </w:rPr>
        <w:t xml:space="preserve">Preparado para: George (jsuasnavas@gmail.com)</w:t>
      </w:r>
    </w:p>
    <w:p>
      <w:pPr>
        <w:spacing w:after="140"/>
      </w:pPr>
      <w:r>
        <w:rPr>
          <w:rFonts w:ascii="Calibri" w:cs="Calibri" w:eastAsia="Calibri" w:hAnsi="Calibri"/>
          <w:sz w:val="22"/>
          <w:szCs w:val="22"/>
        </w:rPr>
        <w:t xml:space="preserve">Fecha: 6 de septiembre de 2026</w:t>
      </w:r>
    </w:p>
    <w:p>
      <w:pPr>
        <w:spacing w:after="140"/>
      </w:pPr>
      <w:r>
        <w:rPr>
          <w:rFonts w:ascii="Calibri" w:cs="Calibri" w:eastAsia="Calibri" w:hAnsi="Calibri"/>
          <w:sz w:val="22"/>
          <w:szCs w:val="22"/>
        </w:rPr>
        <w:t xml:space="preserve">Este documento define el plan de validación psicométrica que debe ejecutarse sobre los datos del estudio piloto (Fase 8), para confirmar o corregir todos los supuestos de diseño marcados como [HIPÓTESIS] en las Fases 1 a 7. Es un plan de análisis, no un reporte de resultados: no contiene ningún valor de alfa, omega, correlación, carga factorial o punto de corte real, ya que estos solo existen una vez ejecutado el piloto.</w:t>
      </w:r>
    </w:p>
    <w:p>
      <w:pPr>
        <w:spacing w:after="140"/>
      </w:pPr>
      <w:r>
        <w:rPr>
          <w:rFonts w:ascii="Calibri" w:cs="Calibri" w:eastAsia="Calibri" w:hAnsi="Calibri"/>
          <w:sz w:val="22"/>
          <w:szCs w:val="22"/>
        </w:rPr>
        <w:t xml:space="preserve">Convención de evidencia: [HECHO] = decisión ya aprobada por George en DECISIONS.md · [INFERENCIA] = derivado lógicamente de una decisión aprobada · [HIPÓTESIS] = elección razonable del equipo de diseño, no validada aún empíricamente · [DESCONOCIDO] = pendiente de dato piloto.</w:t>
      </w:r>
    </w:p>
    <w:p>
      <w:pPr>
        <w:pStyle w:val="Heading1"/>
        <w:spacing w:after="150" w:before="300"/>
      </w:pPr>
      <w:r>
        <w:t xml:space="preserve">1. Diseño del estudio piloto</w:t>
      </w:r>
    </w:p>
    <w:p>
      <w:pPr>
        <w:pStyle w:val="ListParagraph"/>
        <w:numPr>
          <w:ilvl w:val="0"/>
          <w:numId w:val="2"/>
        </w:numPr>
        <w:spacing w:after="80"/>
      </w:pPr>
      <w:r>
        <w:rPr>
          <w:rFonts w:ascii="Calibri" w:cs="Calibri" w:eastAsia="Calibri" w:hAnsi="Calibri"/>
          <w:sz w:val="22"/>
          <w:szCs w:val="22"/>
        </w:rPr>
        <w:t xml:space="preserve">Población y canales: mismos definidos en la Fase 8 (canal B2C individual y canal B2B empresarial), con un mínimo combinado de 400-800 casos antes del primer análisis (Fase 8, Sección 3).</w:t>
      </w:r>
    </w:p>
    <w:p>
      <w:pPr>
        <w:pStyle w:val="ListParagraph"/>
        <w:numPr>
          <w:ilvl w:val="0"/>
          <w:numId w:val="2"/>
        </w:numPr>
        <w:spacing w:after="80"/>
      </w:pPr>
      <w:r>
        <w:rPr>
          <w:rFonts w:ascii="Calibri" w:cs="Calibri" w:eastAsia="Calibri" w:hAnsi="Calibri"/>
          <w:sz w:val="22"/>
          <w:szCs w:val="22"/>
        </w:rPr>
        <w:t xml:space="preserve">Aplicación: instrumento completo de 80 reactivos (Fases 3-5), en una sola sesión, registrando tiempo total de respuesta y tiempo por reactivo (insumo para el indicador de validez de Azarosidad, Fase 2 Sección 5.1, y para depuración posterior).</w:t>
      </w:r>
    </w:p>
    <w:p>
      <w:pPr>
        <w:pStyle w:val="ListParagraph"/>
        <w:numPr>
          <w:ilvl w:val="0"/>
          <w:numId w:val="2"/>
        </w:numPr>
        <w:spacing w:after="80"/>
      </w:pPr>
      <w:r>
        <w:rPr>
          <w:rFonts w:ascii="Calibri" w:cs="Calibri" w:eastAsia="Calibri" w:hAnsi="Calibri"/>
          <w:sz w:val="22"/>
          <w:szCs w:val="22"/>
        </w:rPr>
        <w:t xml:space="preserve">Variables adicionales recolectadas junto con las respuestas: las variables demográficas y de contexto de la Fase 8 (Sección 5.4), más los 4 indicadores de validez calculados según la Fase 2 (Azarosidad, Omisión, Aquiescencia, Contradicción) para poder excluir o marcar casos de baja calidad antes de los análisis de las Secciones 2-9 de este documento.</w:t>
      </w:r>
    </w:p>
    <w:p>
      <w:pPr>
        <w:pStyle w:val="ListParagraph"/>
        <w:numPr>
          <w:ilvl w:val="0"/>
          <w:numId w:val="2"/>
        </w:numPr>
        <w:spacing w:after="80"/>
      </w:pPr>
      <w:r>
        <w:rPr>
          <w:rFonts w:ascii="Calibri" w:cs="Calibri" w:eastAsia="Calibri" w:hAnsi="Calibri"/>
          <w:sz w:val="22"/>
          <w:szCs w:val="22"/>
        </w:rPr>
        <w:t xml:space="preserve">Subconjunto con criterio externo (solo canal B2B): para el subconjunto de organizaciones piloto que acepten compartir indicadores agregados y anonimizados de desempeño, incidentes disciplinarios o resultados de proceso de selección, se registra ese criterio externo por separado, para el análisis de validez de criterio (Sección 6).</w:t>
      </w:r>
    </w:p>
    <w:p>
      <w:pPr>
        <w:pStyle w:val="ListParagraph"/>
        <w:numPr>
          <w:ilvl w:val="0"/>
          <w:numId w:val="2"/>
        </w:numPr>
        <w:spacing w:after="80"/>
      </w:pPr>
      <w:r>
        <w:rPr>
          <w:rFonts w:ascii="Calibri" w:cs="Calibri" w:eastAsia="Calibri" w:hAnsi="Calibri"/>
          <w:sz w:val="22"/>
          <w:szCs w:val="22"/>
        </w:rPr>
        <w:t xml:space="preserve">[HECHO] Ningún análisis de este documento debe ejecutarse incluyendo casos marcados con invalidación total (Fase 6, Sección 8.2); los casos con invalidación parcial de una dimensión se excluyen únicamente de los análisis específicos de esa dimensión, no del estudio completo.</w:t>
      </w:r>
    </w:p>
    <w:p>
      <w:pPr>
        <w:pStyle w:val="Heading1"/>
        <w:spacing w:after="150" w:before="300"/>
      </w:pPr>
      <w:r>
        <w:t xml:space="preserve">2. Análisis de dificultad/endoso y discriminación por ítem</w:t>
      </w:r>
    </w:p>
    <w:p>
      <w:pPr>
        <w:spacing w:after="140"/>
      </w:pPr>
      <w:r>
        <w:rPr>
          <w:rFonts w:ascii="Calibri" w:cs="Calibri" w:eastAsia="Calibri" w:hAnsi="Calibri"/>
          <w:sz w:val="22"/>
          <w:szCs w:val="22"/>
        </w:rPr>
        <w:t xml:space="preserve">[INFERENCIA] Para reactivos de opción variable (no todos son de acuerdo/desacuerdo simple), el equivalente al 'índice de dificultad' clásico es el índice de endoso: la proporción o el promedio normalizado de respuestas hacia el polo de mayor riesgo, calculado por reactivo sobre la muestra piloto.</w:t>
      </w:r>
    </w:p>
    <w:p>
      <w:pPr>
        <w:pStyle w:val="ListParagraph"/>
        <w:numPr>
          <w:ilvl w:val="0"/>
          <w:numId w:val="2"/>
        </w:numPr>
        <w:spacing w:after="80"/>
      </w:pPr>
      <w:r>
        <w:rPr>
          <w:rFonts w:ascii="Calibri" w:cs="Calibri" w:eastAsia="Calibri" w:hAnsi="Calibri"/>
          <w:sz w:val="22"/>
          <w:szCs w:val="22"/>
        </w:rPr>
        <w:t xml:space="preserve">Índice de endoso por reactivo: promedio del Valor_normalizado (Fase 6, Paso 2) de cada uno de los 80 reactivos sobre toda la muestra piloto. Reactivos con endoso extremadamente bajo (casi nadie marca la opción de riesgo) o extremadamente alto (casi todos la marcan) aportan poca varianza y son candidatos a revisión o eliminación.</w:t>
      </w:r>
    </w:p>
    <w:p>
      <w:pPr>
        <w:pStyle w:val="ListParagraph"/>
        <w:numPr>
          <w:ilvl w:val="0"/>
          <w:numId w:val="2"/>
        </w:numPr>
        <w:spacing w:after="80"/>
      </w:pPr>
      <w:r>
        <w:rPr>
          <w:rFonts w:ascii="Calibri" w:cs="Calibri" w:eastAsia="Calibri" w:hAnsi="Calibri"/>
          <w:sz w:val="22"/>
          <w:szCs w:val="22"/>
        </w:rPr>
        <w:t xml:space="preserve">Índice de discriminación por ítem: correlación entre el Valor_normalizado de cada reactivo y el Puntaje_dimensión del resto de los reactivos de su misma dimensión (correlación ítem-resto, para evitar la inflación artificial de incluir el ítem en su propio total). Reactivos con discriminación baja o negativa son candidatos a revisión de redacción o eliminación del banco.</w:t>
      </w:r>
    </w:p>
    <w:p>
      <w:pPr>
        <w:pStyle w:val="ListParagraph"/>
        <w:numPr>
          <w:ilvl w:val="0"/>
          <w:numId w:val="2"/>
        </w:numPr>
        <w:spacing w:after="80"/>
      </w:pPr>
      <w:r>
        <w:rPr>
          <w:rFonts w:ascii="Calibri" w:cs="Calibri" w:eastAsia="Calibri" w:hAnsi="Calibri"/>
          <w:sz w:val="22"/>
          <w:szCs w:val="22"/>
        </w:rPr>
        <w:t xml:space="preserve">[HIPÓTESIS] Se propone, como regla de depuración inicial (sujeta a ajuste con los datos reales), marcar para revisión cualquier reactivo con correlación ítem-resto menor a un umbral convencional bajo (comúnmente citado en la literatura psicométrica alrededor de 0.20-0.30) o con un índice de endoso fuera de un rango razonable de variabilidad.</w:t>
      </w:r>
    </w:p>
    <w:p>
      <w:pPr>
        <w:pStyle w:val="Heading1"/>
        <w:spacing w:after="150" w:before="300"/>
      </w:pPr>
      <w:r>
        <w:t xml:space="preserve">3. Correlación ítem-total y consistencia interna (alfa/omega)</w:t>
      </w:r>
    </w:p>
    <w:p>
      <w:pPr>
        <w:pStyle w:val="ListParagraph"/>
        <w:numPr>
          <w:ilvl w:val="0"/>
          <w:numId w:val="2"/>
        </w:numPr>
        <w:spacing w:after="80"/>
      </w:pPr>
      <w:r>
        <w:rPr>
          <w:rFonts w:ascii="Calibri" w:cs="Calibri" w:eastAsia="Calibri" w:hAnsi="Calibri"/>
          <w:sz w:val="22"/>
          <w:szCs w:val="22"/>
        </w:rPr>
        <w:t xml:space="preserve">Correlación ítem-total corregida: para cada uno de los 80 reactivos, correlación con el total de su dimensión excluyendo ese mismo reactivo (mismo cálculo de la Sección 2, reportado de forma consolidada por dimensión).</w:t>
      </w:r>
    </w:p>
    <w:p>
      <w:pPr>
        <w:pStyle w:val="ListParagraph"/>
        <w:numPr>
          <w:ilvl w:val="0"/>
          <w:numId w:val="2"/>
        </w:numPr>
        <w:spacing w:after="80"/>
      </w:pPr>
      <w:r>
        <w:rPr>
          <w:rFonts w:ascii="Calibri" w:cs="Calibri" w:eastAsia="Calibri" w:hAnsi="Calibri"/>
          <w:sz w:val="22"/>
          <w:szCs w:val="22"/>
        </w:rPr>
        <w:t xml:space="preserve">Alfa de Cronbach por dimensión: calculado sobre los 4 reactivos de cada una de las 20 dimensiones. [INFERENCIA] Dado el tamaño reducido de reactivos por dimensión (4), se espera que el alfa sea sensible a la calidad de cada ítem individual; una dimensión con alfa bajo debe revisarse antes de usarse en producción, y podría requerir ampliar su número de reactivos en una versión futura del banco.</w:t>
      </w:r>
    </w:p>
    <w:p>
      <w:pPr>
        <w:pStyle w:val="ListParagraph"/>
        <w:numPr>
          <w:ilvl w:val="0"/>
          <w:numId w:val="2"/>
        </w:numPr>
        <w:spacing w:after="80"/>
      </w:pPr>
      <w:r>
        <w:rPr>
          <w:rFonts w:ascii="Calibri" w:cs="Calibri" w:eastAsia="Calibri" w:hAnsi="Calibri"/>
          <w:sz w:val="22"/>
          <w:szCs w:val="22"/>
        </w:rPr>
        <w:t xml:space="preserve">Omega de McDonald por dimensión: se calcula como complemento al alfa, dado que el omega no asume que todos los reactivos de una dimensión tengan la misma carga factorial (supuesto tau-equivalente del alfa), lo cual es más realista para reactivos de distinto tipo estructural (opinión, escenario, percepción, etc.) dentro de una misma dimensión.</w:t>
      </w:r>
    </w:p>
    <w:p>
      <w:pPr>
        <w:pStyle w:val="ListParagraph"/>
        <w:numPr>
          <w:ilvl w:val="0"/>
          <w:numId w:val="2"/>
        </w:numPr>
        <w:spacing w:after="80"/>
      </w:pPr>
      <w:r>
        <w:rPr>
          <w:rFonts w:ascii="Calibri" w:cs="Calibri" w:eastAsia="Calibri" w:hAnsi="Calibri"/>
          <w:sz w:val="22"/>
          <w:szCs w:val="22"/>
        </w:rPr>
        <w:t xml:space="preserve">[DESCONOCIDO] No se fija aquí un umbral mínimo aceptable de alfa/omega con un valor numérico específico como meta de éxito del piloto, porque hacerlo sin datos sería una forma de simular un resultado; se documentará como parte del reporte de resultados del piloto, comparado contra las convenciones generales de la literatura de fiabilidad de escalas cortas.</w:t>
      </w:r>
    </w:p>
    <w:p>
      <w:pPr>
        <w:pStyle w:val="Heading1"/>
        <w:spacing w:after="150" w:before="300"/>
      </w:pPr>
      <w:r>
        <w:t xml:space="preserve">4. Análisis factorial exploratorio (AFE) y confirmatorio (AFC)</w:t>
      </w:r>
    </w:p>
    <w:p>
      <w:pPr>
        <w:pStyle w:val="ListParagraph"/>
        <w:numPr>
          <w:ilvl w:val="0"/>
          <w:numId w:val="2"/>
        </w:numPr>
        <w:spacing w:after="80"/>
      </w:pPr>
      <w:r>
        <w:rPr>
          <w:rFonts w:ascii="Calibri" w:cs="Calibri" w:eastAsia="Calibri" w:hAnsi="Calibri"/>
          <w:sz w:val="22"/>
          <w:szCs w:val="22"/>
        </w:rPr>
        <w:t xml:space="preserve">AFE inicial: sobre la muestra piloto agregada (Sección 1), para explorar si los 80 reactivos se agrupan empíricamente de forma consistente con las 20 dimensiones teóricas de la Fase 1, o si emergen agrupaciones distintas (por ejemplo, reactivos de dimensiones teóricamente distintas que covarían más de lo esperado, sugiriendo redundancia conceptual).</w:t>
      </w:r>
    </w:p>
    <w:p>
      <w:pPr>
        <w:pStyle w:val="ListParagraph"/>
        <w:numPr>
          <w:ilvl w:val="0"/>
          <w:numId w:val="2"/>
        </w:numPr>
        <w:spacing w:after="80"/>
      </w:pPr>
      <w:r>
        <w:rPr>
          <w:rFonts w:ascii="Calibri" w:cs="Calibri" w:eastAsia="Calibri" w:hAnsi="Calibri"/>
          <w:sz w:val="22"/>
          <w:szCs w:val="22"/>
        </w:rPr>
        <w:t xml:space="preserve">[INFERENCIA] Dado que el modelo teórico ya especifica una estructura de 20 dimensiones agrupadas en 2 familias (Fase 1), el AFE debe usarse principalmente como diagnóstico de problemas (cargas cruzadas, reactivos que no cargan en su dimensión esperada), no como un ejercicio exploratorio libre sin hipótesis previa.</w:t>
      </w:r>
    </w:p>
    <w:p>
      <w:pPr>
        <w:pStyle w:val="ListParagraph"/>
        <w:numPr>
          <w:ilvl w:val="0"/>
          <w:numId w:val="2"/>
        </w:numPr>
        <w:spacing w:after="80"/>
      </w:pPr>
      <w:r>
        <w:rPr>
          <w:rFonts w:ascii="Calibri" w:cs="Calibri" w:eastAsia="Calibri" w:hAnsi="Calibri"/>
          <w:sz w:val="22"/>
          <w:szCs w:val="22"/>
        </w:rPr>
        <w:t xml:space="preserve">AFC de segundo orden: una vez depurado el banco con base en el AFE y en las Secciones 2-3, se debe probar formalmente un modelo confirmatorio de 20 factores de primer orden (las dimensiones) agrupados en 2 factores de segundo orden (Integridad Nuclear y Factores Contextuales), evaluando el ajuste con los índices convencionales de la literatura de ecuaciones estructurales (por ejemplo, CFI, TLI, RMSEA, SRMR), sin fijar aquí valores de corte como si fueran ya resultados obtenidos.</w:t>
      </w:r>
    </w:p>
    <w:p>
      <w:pPr>
        <w:pStyle w:val="ListParagraph"/>
        <w:numPr>
          <w:ilvl w:val="0"/>
          <w:numId w:val="2"/>
        </w:numPr>
        <w:spacing w:after="80"/>
      </w:pPr>
      <w:r>
        <w:rPr>
          <w:rFonts w:ascii="Calibri" w:cs="Calibri" w:eastAsia="Calibri" w:hAnsi="Calibri"/>
          <w:sz w:val="22"/>
          <w:szCs w:val="22"/>
        </w:rPr>
        <w:t xml:space="preserve">[HIPÓTESIS] Si el AFC no confirma razonablemente la estructura de 2 familias, se debe evaluar un modelo alternativo con las 20 dimensiones como factores correlacionados sin una estructura jerárquica forzada, y ajustar en consecuencia la fórmula del IGI (Fase 6), que actualmente asume que las dimensiones Nucleares son intercambiables entre sí para efectos de ponderación.</w:t>
      </w:r>
    </w:p>
    <w:p>
      <w:pPr>
        <w:pStyle w:val="Heading1"/>
        <w:spacing w:after="150" w:before="300"/>
      </w:pPr>
      <w:r>
        <w:t xml:space="preserve">5. Hoja de ruta hacia TRI/IRT</w:t>
      </w:r>
    </w:p>
    <w:p>
      <w:pPr>
        <w:spacing w:after="140"/>
      </w:pPr>
      <w:r>
        <w:rPr>
          <w:rFonts w:ascii="Calibri" w:cs="Calibri" w:eastAsia="Calibri" w:hAnsi="Calibri"/>
          <w:b/>
          <w:bCs/>
          <w:sz w:val="22"/>
          <w:szCs w:val="22"/>
        </w:rPr>
        <w:t xml:space="preserve">[HECHO] </w:t>
      </w:r>
      <w:r>
        <w:rPr>
          <w:rFonts w:ascii="Calibri" w:cs="Calibri" w:eastAsia="Calibri" w:hAnsi="Calibri"/>
          <w:sz w:val="22"/>
          <w:szCs w:val="22"/>
        </w:rPr>
        <w:t xml:space="preserve">DECISIONS.md (punto 2) establece que el instrumento se lanza en TCT pero el diseño de reactivos debe quedar preparado para migrar a TRI/IRT cuando exista muestra piloto suficiente (cientos de casos).</w:t>
      </w:r>
    </w:p>
    <w:p>
      <w:pPr>
        <w:pStyle w:val="ListParagraph"/>
        <w:numPr>
          <w:ilvl w:val="0"/>
          <w:numId w:val="2"/>
        </w:numPr>
        <w:spacing w:after="80"/>
      </w:pPr>
      <w:r>
        <w:rPr>
          <w:rFonts w:ascii="Calibri" w:cs="Calibri" w:eastAsia="Calibri" w:hAnsi="Calibri"/>
          <w:sz w:val="22"/>
          <w:szCs w:val="22"/>
        </w:rPr>
        <w:t xml:space="preserve">Paso 1 (con la primera muestra piloto, cientos de casos): verificar los supuestos mínimos de aplicabilidad de un modelo politómico de TRI (por ejemplo, modelo de crédito parcial o modelo de escala gradual, dado que los reactivos usan escalas de opción variable de distinto rango, Fase 2 Sección 2) sobre cada dimensión por separado, dado el número reducido de reactivos por dimensión.</w:t>
      </w:r>
    </w:p>
    <w:p>
      <w:pPr>
        <w:pStyle w:val="ListParagraph"/>
        <w:numPr>
          <w:ilvl w:val="0"/>
          <w:numId w:val="2"/>
        </w:numPr>
        <w:spacing w:after="80"/>
      </w:pPr>
      <w:r>
        <w:rPr>
          <w:rFonts w:ascii="Calibri" w:cs="Calibri" w:eastAsia="Calibri" w:hAnsi="Calibri"/>
          <w:sz w:val="22"/>
          <w:szCs w:val="22"/>
        </w:rPr>
        <w:t xml:space="preserve">Paso 2 (con muestra más amplia, del orden de miles de casos, alineado con las metas de crecimiento del canal B2C): ajustar un modelo de TRI politómico por dimensión, comparar su ajuste contra el modelo de TCT vigente, y evaluar si el modelo de TRI mejora la precisión de medición, especialmente en los extremos de la escala (personas con integridad muy alta o muy baja, donde la TCT suele ser menos precisa).</w:t>
      </w:r>
    </w:p>
    <w:p>
      <w:pPr>
        <w:pStyle w:val="ListParagraph"/>
        <w:numPr>
          <w:ilvl w:val="0"/>
          <w:numId w:val="2"/>
        </w:numPr>
        <w:spacing w:after="80"/>
      </w:pPr>
      <w:r>
        <w:rPr>
          <w:rFonts w:ascii="Calibri" w:cs="Calibri" w:eastAsia="Calibri" w:hAnsi="Calibri"/>
          <w:sz w:val="22"/>
          <w:szCs w:val="22"/>
        </w:rPr>
        <w:t xml:space="preserve">Paso 3: si el modelo de TRI muestra ventajas claras, planear una migración gradual, dimensión por dimensión, manteniendo ambos modelos en paralelo (TCT como respaldo) durante un periodo de transición, y documentando el cambio como una recalibración mayor (Fase 8, Sección 4).</w:t>
      </w:r>
    </w:p>
    <w:p>
      <w:pPr>
        <w:pStyle w:val="ListParagraph"/>
        <w:numPr>
          <w:ilvl w:val="0"/>
          <w:numId w:val="2"/>
        </w:numPr>
        <w:spacing w:after="80"/>
      </w:pPr>
      <w:r>
        <w:rPr>
          <w:rFonts w:ascii="Calibri" w:cs="Calibri" w:eastAsia="Calibri" w:hAnsi="Calibri"/>
          <w:sz w:val="22"/>
          <w:szCs w:val="22"/>
        </w:rPr>
        <w:t xml:space="preserve">[DESCONOCIDO] No es posible, sin datos reales, determinar si el banco actual de 3-4 reactivos por dimensión es suficiente para una calibración de TRI estable; este es uno de los hallazgos que el propio Paso 1 debe responder.</w:t>
      </w:r>
    </w:p>
    <w:p>
      <w:pPr>
        <w:pStyle w:val="Heading1"/>
        <w:spacing w:after="150" w:before="300"/>
      </w:pPr>
      <w:r>
        <w:t xml:space="preserve">6. Funcionamiento diferencial de ítems (DIF)</w:t>
      </w:r>
    </w:p>
    <w:p>
      <w:pPr>
        <w:pStyle w:val="ListParagraph"/>
        <w:numPr>
          <w:ilvl w:val="0"/>
          <w:numId w:val="2"/>
        </w:numPr>
        <w:spacing w:after="80"/>
      </w:pPr>
      <w:r>
        <w:rPr>
          <w:rFonts w:ascii="Calibri" w:cs="Calibri" w:eastAsia="Calibri" w:hAnsi="Calibri"/>
          <w:sz w:val="22"/>
          <w:szCs w:val="22"/>
        </w:rPr>
        <w:t xml:space="preserve">Se debe analizar, para cada uno de los 80 reactivos, si su relación entre respuesta y nivel latente de la dimensión difiere sistemáticamente entre grupos demográficos con el mismo nivel real de la dimensión (por ejemplo, entre países, entre rangos de edad, entre géneros, o entre el canal B2C y el canal B2B), usando las variables de contexto recolectadas en la Fase 8.</w:t>
      </w:r>
    </w:p>
    <w:p>
      <w:pPr>
        <w:pStyle w:val="ListParagraph"/>
        <w:numPr>
          <w:ilvl w:val="0"/>
          <w:numId w:val="2"/>
        </w:numPr>
        <w:spacing w:after="80"/>
      </w:pPr>
      <w:r>
        <w:rPr>
          <w:rFonts w:ascii="Calibri" w:cs="Calibri" w:eastAsia="Calibri" w:hAnsi="Calibri"/>
          <w:sz w:val="22"/>
          <w:szCs w:val="22"/>
        </w:rPr>
        <w:t xml:space="preserve">[INFERENCIA] El DIF es especialmente relevante para las dimensiones con contenido más sensible a normas culturales (por ejemplo, Apego a la Norma Social, Integridad Transaccional) y para las dimensiones nuevas del instrumento (Conflicto de Interés, Uso Indebido de Recursos No Físicos, Percepción de Impunidad), que no cuentan con literatura de referencia tan extensa como las dimensiones más clásicas.</w:t>
      </w:r>
    </w:p>
    <w:p>
      <w:pPr>
        <w:pStyle w:val="ListParagraph"/>
        <w:numPr>
          <w:ilvl w:val="0"/>
          <w:numId w:val="2"/>
        </w:numPr>
        <w:spacing w:after="80"/>
      </w:pPr>
      <w:r>
        <w:rPr>
          <w:rFonts w:ascii="Calibri" w:cs="Calibri" w:eastAsia="Calibri" w:hAnsi="Calibri"/>
          <w:sz w:val="22"/>
          <w:szCs w:val="22"/>
        </w:rPr>
        <w:t xml:space="preserve">Cualquier reactivo con DIF relevante debe revisarse en su redacción (posible ambigüedad cultural o de traducción futura) o, si persiste tras la revisión, marcarse para exclusión o para uso restringido a los grupos donde se comportó de forma consistente.</w:t>
      </w:r>
    </w:p>
    <w:p>
      <w:pPr>
        <w:pStyle w:val="Heading1"/>
        <w:spacing w:after="150" w:before="300"/>
      </w:pPr>
      <w:r>
        <w:t xml:space="preserve">7. Validez convergente, discriminante y de criterio</w:t>
      </w:r>
    </w:p>
    <w:p>
      <w:pPr>
        <w:pStyle w:val="Heading2"/>
        <w:spacing w:after="120" w:before="240"/>
      </w:pPr>
      <w:r>
        <w:t xml:space="preserve">7.1 Validez convergente y discriminante</w:t>
      </w:r>
    </w:p>
    <w:p>
      <w:pPr>
        <w:pStyle w:val="ListParagraph"/>
        <w:numPr>
          <w:ilvl w:val="0"/>
          <w:numId w:val="2"/>
        </w:numPr>
        <w:spacing w:after="80"/>
      </w:pPr>
      <w:r>
        <w:rPr>
          <w:rFonts w:ascii="Calibri" w:cs="Calibri" w:eastAsia="Calibri" w:hAnsi="Calibri"/>
          <w:sz w:val="22"/>
          <w:szCs w:val="22"/>
        </w:rPr>
        <w:t xml:space="preserve">Convergente: correlación esperada moderada-alta entre dimensiones teóricamente relacionadas dentro de la familia Integridad Nuclear (por ejemplo, entre Integridad Documental e Informativa y Responsabilización por Resultados, ambas vinculadas a la honestidad ante errores/reportes propios).</w:t>
      </w:r>
    </w:p>
    <w:p>
      <w:pPr>
        <w:pStyle w:val="ListParagraph"/>
        <w:numPr>
          <w:ilvl w:val="0"/>
          <w:numId w:val="2"/>
        </w:numPr>
        <w:spacing w:after="80"/>
      </w:pPr>
      <w:r>
        <w:rPr>
          <w:rFonts w:ascii="Calibri" w:cs="Calibri" w:eastAsia="Calibri" w:hAnsi="Calibri"/>
          <w:sz w:val="22"/>
          <w:szCs w:val="22"/>
        </w:rPr>
        <w:t xml:space="preserve">Discriminante: correlación esperada baja entre dimensiones teóricamente distintas (por ejemplo, entre Autorregulación ante Sustancias y Equidad de Trato Interpersonal), y entre el IGI y medidas externas de constructos deliberadamente distintos si se dispone de ellas en el piloto (por ejemplo, una medida breve de deseabilidad social, útil además para estimar cuánto del puntaje individual podría explicarse por el estilo de respuesta y no por el contenido).</w:t>
      </w:r>
    </w:p>
    <w:p>
      <w:pPr>
        <w:pStyle w:val="Heading2"/>
        <w:spacing w:after="120" w:before="240"/>
      </w:pPr>
      <w:r>
        <w:t xml:space="preserve">7.2 Validez de criterio</w:t>
      </w:r>
    </w:p>
    <w:p>
      <w:pPr>
        <w:pStyle w:val="ListParagraph"/>
        <w:numPr>
          <w:ilvl w:val="0"/>
          <w:numId w:val="2"/>
        </w:numPr>
        <w:spacing w:after="80"/>
      </w:pPr>
      <w:r>
        <w:rPr>
          <w:rFonts w:ascii="Calibri" w:cs="Calibri" w:eastAsia="Calibri" w:hAnsi="Calibri"/>
          <w:sz w:val="22"/>
          <w:szCs w:val="22"/>
        </w:rPr>
        <w:t xml:space="preserve">Solo disponible para el subconjunto de casos del canal B2B con criterio externo (Sección 1): correlación entre el IGI y los indicadores de desempeño, incidentes disciplinarios o resultados de selección compartidos por las organizaciones piloto, agregados y anonimizados.</w:t>
      </w:r>
    </w:p>
    <w:p>
      <w:pPr>
        <w:pStyle w:val="ListParagraph"/>
        <w:numPr>
          <w:ilvl w:val="0"/>
          <w:numId w:val="2"/>
        </w:numPr>
        <w:spacing w:after="80"/>
      </w:pPr>
      <w:r>
        <w:rPr>
          <w:rFonts w:ascii="Calibri" w:cs="Calibri" w:eastAsia="Calibri" w:hAnsi="Calibri"/>
          <w:sz w:val="22"/>
          <w:szCs w:val="22"/>
        </w:rPr>
        <w:t xml:space="preserve">[DESCONOCIDO] Dado que este criterio depende enteramente de la disposición de las organizaciones piloto a compartir datos reales, no se puede anticipar aquí el tamaño de esta submuestra ni ningún valor de correlación esperado; se documenta como un objetivo de recolección a maximizar dentro del plan de la Fase 8, no como un resultado.</w:t>
      </w:r>
    </w:p>
    <w:p>
      <w:pPr>
        <w:pStyle w:val="Heading1"/>
        <w:spacing w:after="150" w:before="300"/>
      </w:pPr>
      <w:r>
        <w:t xml:space="preserve">8. Construcción empírica de puntos de corte</w:t>
      </w:r>
    </w:p>
    <w:p>
      <w:pPr>
        <w:pStyle w:val="ListParagraph"/>
        <w:numPr>
          <w:ilvl w:val="0"/>
          <w:numId w:val="2"/>
        </w:numPr>
        <w:spacing w:after="80"/>
      </w:pPr>
      <w:r>
        <w:rPr>
          <w:rFonts w:ascii="Calibri" w:cs="Calibri" w:eastAsia="Calibri" w:hAnsi="Calibri"/>
          <w:sz w:val="22"/>
          <w:szCs w:val="22"/>
        </w:rPr>
        <w:t xml:space="preserve">Una vez calculada la norma provisional (Fase 8), los puntos de corte para las categorías de riesgo reportadas en la capa empresarial (por ejemplo, 'Riesgo Bajo', 'Riesgo Moderado', 'Riesgo Alto', usados de forma preliminar en el ejemplo de la Fase 7) deben construirse empíricamente a partir de la distribución real del IGI en la muestra de referencia (por ejemplo, mediante percentiles fijos, o mediante un punto de corte optimizado contra el criterio externo de la Sección 7.2 cuando exista una submuestra suficiente).</w:t>
      </w:r>
    </w:p>
    <w:p>
      <w:pPr>
        <w:pStyle w:val="ListParagraph"/>
        <w:numPr>
          <w:ilvl w:val="0"/>
          <w:numId w:val="2"/>
        </w:numPr>
        <w:spacing w:after="80"/>
      </w:pPr>
      <w:r>
        <w:rPr>
          <w:rFonts w:ascii="Calibri" w:cs="Calibri" w:eastAsia="Calibri" w:hAnsi="Calibri"/>
          <w:sz w:val="22"/>
          <w:szCs w:val="22"/>
        </w:rPr>
        <w:t xml:space="preserve">[HIPÓTESIS] Hasta contar con ese análisis, cualquier punto de corte mostrado en un reporte (incluyendo el ejemplo ilustrativo de la Fase 7) debe marcarse explícitamente como preliminar y sujeto a revisión, y nunca presentarse como un estándar validado ante un cliente empresarial.</w:t>
      </w:r>
    </w:p>
    <w:p>
      <w:pPr>
        <w:pStyle w:val="ListParagraph"/>
        <w:numPr>
          <w:ilvl w:val="0"/>
          <w:numId w:val="2"/>
        </w:numPr>
        <w:spacing w:after="80"/>
      </w:pPr>
      <w:r>
        <w:rPr>
          <w:rFonts w:ascii="Calibri" w:cs="Calibri" w:eastAsia="Calibri" w:hAnsi="Calibri"/>
          <w:sz w:val="22"/>
          <w:szCs w:val="22"/>
        </w:rPr>
        <w:t xml:space="preserve">Los puntos de corte deben revisarse por segmento normativo (Fase 8, Sección 2.3) una vez exista volumen suficiente, ya que un mismo IGI absoluto puede representar un nivel de riesgo relativo distinto según el país, industria o canal de aplicación.</w:t>
      </w:r>
    </w:p>
    <w:p>
      <w:pPr>
        <w:pStyle w:val="Heading1"/>
        <w:spacing w:after="150" w:before="300"/>
      </w:pPr>
      <w:r>
        <w:t xml:space="preserve">9. Validación cruzada</w:t>
      </w:r>
    </w:p>
    <w:p>
      <w:pPr>
        <w:pStyle w:val="ListParagraph"/>
        <w:numPr>
          <w:ilvl w:val="0"/>
          <w:numId w:val="2"/>
        </w:numPr>
        <w:spacing w:after="80"/>
      </w:pPr>
      <w:r>
        <w:rPr>
          <w:rFonts w:ascii="Calibri" w:cs="Calibri" w:eastAsia="Calibri" w:hAnsi="Calibri"/>
          <w:sz w:val="22"/>
          <w:szCs w:val="22"/>
        </w:rPr>
        <w:t xml:space="preserve">Toda regla derivada de los datos (pesos ajustados de dimensión, puntos de corte, parámetros de un futuro modelo de TRI) debe validarse con una metodología de validación cruzada (por ejemplo, división de la muestra en un conjunto de entrenamiento y uno de prueba, o validación cruzada de k particiones si el tamaño de muestra lo permite) antes de adoptarse en producción, para evitar sobreajuste a las particularidades de la primera muestra piloto.</w:t>
      </w:r>
    </w:p>
    <w:p>
      <w:pPr>
        <w:pStyle w:val="ListParagraph"/>
        <w:numPr>
          <w:ilvl w:val="0"/>
          <w:numId w:val="2"/>
        </w:numPr>
        <w:spacing w:after="80"/>
      </w:pPr>
      <w:r>
        <w:rPr>
          <w:rFonts w:ascii="Calibri" w:cs="Calibri" w:eastAsia="Calibri" w:hAnsi="Calibri"/>
          <w:sz w:val="22"/>
          <w:szCs w:val="22"/>
        </w:rPr>
        <w:t xml:space="preserve">[INFERENCIA] Dado que el tamaño de muestra inicial (Fase 8, Sección 3) es modesto para estándares psicométricos maduros, se prioriza una validación cruzada simple (por ejemplo, 70/30) sobre esquemas más exigentes que requieran mayor volumen, y se reevalúa el esquema de validación a medida que crece la muestra acumulada.</w:t>
      </w:r>
    </w:p>
    <w:p>
      <w:pPr>
        <w:pStyle w:val="Heading1"/>
        <w:spacing w:after="150" w:before="300"/>
      </w:pPr>
      <w:r>
        <w:t xml:space="preserve">10. Análisis de falsos positivos y falsos negativos</w:t>
      </w:r>
    </w:p>
    <w:p>
      <w:pPr>
        <w:pStyle w:val="ListParagraph"/>
        <w:numPr>
          <w:ilvl w:val="0"/>
          <w:numId w:val="2"/>
        </w:numPr>
        <w:spacing w:after="80"/>
      </w:pPr>
      <w:r>
        <w:rPr>
          <w:rFonts w:ascii="Calibri" w:cs="Calibri" w:eastAsia="Calibri" w:hAnsi="Calibri"/>
          <w:sz w:val="22"/>
          <w:szCs w:val="22"/>
        </w:rPr>
        <w:t xml:space="preserve">Solo aplicable, con rigor, sobre la submuestra con criterio externo real (Sección 7.2): una vez fijados los puntos de corte de la Sección 8, se debe calcular la tasa de falsos positivos (personas clasificadas como de mayor riesgo que no presentan el criterio externo negativo, p. ej. incidentes disciplinarios) y falsos negativos (personas clasificadas como de bajo riesgo que sí presentan ese criterio), junto con sensibilidad y especificidad del punto de corte elegido.</w:t>
      </w:r>
    </w:p>
    <w:p>
      <w:pPr>
        <w:pStyle w:val="ListParagraph"/>
        <w:numPr>
          <w:ilvl w:val="0"/>
          <w:numId w:val="2"/>
        </w:numPr>
        <w:spacing w:after="80"/>
      </w:pPr>
      <w:r>
        <w:rPr>
          <w:rFonts w:ascii="Calibri" w:cs="Calibri" w:eastAsia="Calibri" w:hAnsi="Calibri"/>
          <w:sz w:val="22"/>
          <w:szCs w:val="22"/>
        </w:rPr>
        <w:t xml:space="preserve">[INFERENCIA] Este análisis es el que debe usarse para decidir, con evidencia, el balance entre sensibilidad y especificidad más adecuado para el uso empresarial del instrumento (por ejemplo, si conviene un punto de corte más conservador que reduzca falsos negativos a costa de más falsos positivos, dado el uso en procesos de selección donde un falso negativo no detectado puede tener mayor costo que un falso positivo que simplemente derive en una entrevista adicional).</w:t>
      </w:r>
    </w:p>
    <w:p>
      <w:pPr>
        <w:pStyle w:val="ListParagraph"/>
        <w:numPr>
          <w:ilvl w:val="0"/>
          <w:numId w:val="2"/>
        </w:numPr>
        <w:spacing w:after="80"/>
      </w:pPr>
      <w:r>
        <w:rPr>
          <w:rFonts w:ascii="Calibri" w:cs="Calibri" w:eastAsia="Calibri" w:hAnsi="Calibri"/>
          <w:sz w:val="22"/>
          <w:szCs w:val="22"/>
        </w:rPr>
        <w:t xml:space="preserve">[DESCONOCIDO] Sin la submuestra de criterio externo real, no es posible calcular ninguna de estas tasas; hasta entonces, el instrumento debe comunicarse, especialmente en la capa empresarial, como una herramienta de apoyo a un proceso de decisión más amplio (nunca como una herramienta de decisión automática y única), precisamente porque sus tasas de error aún no están cuantificadas.</w:t>
      </w:r>
    </w:p>
    <w:p>
      <w:pPr>
        <w:pStyle w:val="Heading1"/>
        <w:spacing w:after="150" w:before="300"/>
      </w:pPr>
      <w:r>
        <w:t xml:space="preserve">11. Relación con las siguientes fases</w:t>
      </w:r>
    </w:p>
    <w:p>
      <w:pPr>
        <w:spacing w:after="140"/>
      </w:pPr>
      <w:r>
        <w:rPr>
          <w:rFonts w:ascii="Calibri" w:cs="Calibri" w:eastAsia="Calibri" w:hAnsi="Calibri"/>
          <w:sz w:val="22"/>
          <w:szCs w:val="22"/>
        </w:rPr>
        <w:t xml:space="preserve">[HECHO] Este plan de validación es el criterio que debe usarse para decidir, con el primer conjunto real de datos piloto, qué partes del diseño actual (pesos de dimensión, valores psicométricos por reactivo, umbrales de invalidación, puntos de corte) se mantienen, se ajustan o se descartan. La Fase 10 (producto y modelo de negocio) y la Fase 11 (resumen consolidado) deben leerse teniendo en cuenta que el instrumento, tal como queda documentado en este proyecto, es una versión inicial lista para piloto, no un instrumento ya validado.</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2026-09-07T03:36:00.995Z</dcterms:created>
  <dcterms:modified xsi:type="dcterms:W3CDTF">2026-09-07T03:36:00.995Z</dcterms:modified>
</cp:coreProperties>
</file>

<file path=docProps/custom.xml><?xml version="1.0" encoding="utf-8"?>
<Properties xmlns="http://schemas.openxmlformats.org/officeDocument/2006/custom-properties" xmlns:vt="http://schemas.openxmlformats.org/officeDocument/2006/docPropsVTypes"/>
</file>