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b/>
          <w:bCs/>
          <w:sz w:val="44"/>
          <w:szCs w:val="44"/>
        </w:rPr>
        <w:t xml:space="preserve">Fase 1 — Arquitectura de Dimensiones</w:t>
      </w:r>
    </w:p>
    <w:p>
      <w:pPr>
        <w:spacing w:after="60"/>
        <w:jc w:val="center"/>
      </w:pPr>
      <w:r>
        <w:rPr>
          <w:sz w:val="28"/>
          <w:szCs w:val="28"/>
        </w:rPr>
        <w:t xml:space="preserve">[NOMBRE DEL INSTRUMENTO] — Nuevo Instrumento de Integridad</w:t>
      </w:r>
    </w:p>
    <w:p>
      <w:pPr>
        <w:spacing w:after="400"/>
        <w:jc w:val="center"/>
      </w:pPr>
      <w:r>
        <w:rPr>
          <w:i/>
          <w:iCs/>
          <w:sz w:val="24"/>
          <w:szCs w:val="24"/>
        </w:rPr>
        <w:t xml:space="preserve">Versión 2 — 21 dimensiones (2026-09-09)</w:t>
      </w:r>
    </w:p>
    <w:p>
      <w:pPr>
        <w:pStyle w:val="Heading1"/>
        <w:spacing w:after="200" w:before="400"/>
      </w:pPr>
      <w:r>
        <w:t xml:space="preserve">Introducción y principios de arquitectura</w:t>
      </w:r>
    </w:p>
    <w:p>
      <w:pPr>
        <w:spacing w:after="150"/>
      </w:pPr>
      <w:r>
        <w:t xml:space="preserve">Este documento define la arquitectura de dimensiones de la Versión 2 del instrumento, aprobada por George el 2026-09-09 (ver DECISIONS.md, punto 1). Reemplaza íntegramente la versión original de 20 dimensiones entregada en la primera ejecución autónoma del proyecto.</w:t>
      </w:r>
    </w:p>
    <w:p>
      <w:pPr>
        <w:spacing w:after="150"/>
      </w:pPr>
      <w:r>
        <w:t xml:space="preserve">Principio central: cada una de las 21 dimensiones es una sub-prueba independiente, con su propio resultado normalizado (escala 0-100) y su propio informe de sub-resultado. Ninguna dimensión se diluye dentro de un puntaje compuesto sin que su resultado individual también quede disponible y reportado.</w:t>
      </w:r>
    </w:p>
    <w:p>
      <w:pPr>
        <w:spacing w:after="150"/>
      </w:pPr>
      <w:r>
        <w:t xml:space="preserve">El Índice General de Integridad (IGI) es EXCLUSIVAMENTE la combinación ponderada de las dimensiones del grupo "Núcleo — Base" más las dimensiones del grupo "Núcleo — Adicionales" que hayan sido seleccionadas para la batería de un puesto específico. Las dimensiones del grupo "Factores Contextuales" NUNCA entran al cálculo del IGI: se reportan siempre de forma separada, como información complementaria de riesgo o contexto, nunca como parte del índice general.</w:t>
      </w:r>
    </w:p>
    <w:p>
      <w:pPr>
        <w:pStyle w:val="Heading2"/>
        <w:spacing w:after="150" w:before="300"/>
      </w:pPr>
      <w:r>
        <w:t xml:space="preserve">Regla de configuración por puesto</w:t>
      </w:r>
    </w:p>
    <w:p>
      <w:pPr>
        <w:spacing w:after="150"/>
      </w:pPr>
      <w:r>
        <w:t xml:space="preserve">Toda batería construida con este instrumento incluye obligatoriamente las 5 dimensiones del grupo Núcleo — Base, sin excepción: constituyen el estándar mínimo del instrumento. A partir de esa base, se agregan 0 o más dimensiones del grupo Núcleo — Adicionales según el análisis de riesgo del puesto, siguiendo la misma lógica de "probabilidad × impacto" ya utilizada en el análisis del instrumento de referencia (AMITAI). Opcionalmente, se agregan también las Factores Contextuales que sean relevantes para el puesto o el contexto de aplicación. En ningún caso se exige incluir las 12 dimensiones Núcleo (Base + Adicionales) a la vez: la selección de Adicionales es siempre configurable.</w:t>
      </w:r>
    </w:p>
    <w:p>
      <w:pPr>
        <w:pStyle w:val="Heading2"/>
        <w:spacing w:after="150" w:before="300"/>
      </w:pPr>
      <w:r>
        <w:t xml:space="preserve">Resumen de la arquitectura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200"/>
        <w:gridCol w:w="1800"/>
        <w:gridCol w:w="2200"/>
      </w:tblGrid>
      <w:tr>
        <w:tc>
          <w:tcPr>
            <w:tcW w:type="dxa" w:w="2400"/>
            <w:shd w:fill="D9D9D9" w:val="clear"/>
          </w:tcPr>
          <w:p>
            <w:r>
              <w:rPr>
                <w:b/>
                <w:bCs/>
              </w:rPr>
              <w:t xml:space="preserve">Grupo</w:t>
            </w:r>
          </w:p>
        </w:tc>
        <w:tc>
          <w:tcPr>
            <w:tcW w:type="dxa" w:w="1600"/>
            <w:shd w:fill="D9D9D9" w:val="clear"/>
          </w:tcPr>
          <w:p>
            <w:r>
              <w:rPr>
                <w:b/>
                <w:bCs/>
              </w:rPr>
              <w:t xml:space="preserve">N.° dimensiones</w:t>
            </w:r>
          </w:p>
        </w:tc>
        <w:tc>
          <w:tcPr>
            <w:tcW w:type="dxa" w:w="2200"/>
            <w:shd w:fill="D9D9D9" w:val="clear"/>
          </w:tcPr>
          <w:p>
            <w:r>
              <w:rPr>
                <w:b/>
                <w:bCs/>
              </w:rPr>
              <w:t xml:space="preserve">¿Entra al IGI?</w:t>
            </w:r>
          </w:p>
        </w:tc>
        <w:tc>
          <w:tcPr>
            <w:tcW w:type="dxa" w:w="1800"/>
            <w:shd w:fill="D9D9D9" w:val="clear"/>
          </w:tcPr>
          <w:p>
            <w:r>
              <w:rPr>
                <w:b/>
                <w:bCs/>
              </w:rPr>
              <w:t xml:space="preserve">Reactivos por dimensión</w:t>
            </w:r>
          </w:p>
        </w:tc>
        <w:tc>
          <w:tcPr>
            <w:tcW w:type="dxa" w:w="2200"/>
            <w:shd w:fill="D9D9D9" w:val="clear"/>
          </w:tcPr>
          <w:p>
            <w:r>
              <w:rPr>
                <w:b/>
                <w:bCs/>
              </w:rPr>
              <w:t xml:space="preserve">Par espejo obligatorio</w:t>
            </w:r>
          </w:p>
        </w:tc>
      </w:tr>
      <w:tr>
        <w:tc>
          <w:tcPr>
            <w:tcW w:type="dxa" w:w="2400"/>
          </w:tcPr>
          <w:p>
            <w:r>
              <w:rPr>
                <w:b/>
                <w:bCs/>
              </w:rPr>
              <w:t xml:space="preserve">Núcleo — Base</w:t>
            </w:r>
          </w:p>
        </w:tc>
        <w:tc>
          <w:tcPr>
            <w:tcW w:type="dxa" w:w="1600"/>
          </w:tcPr>
          <w:p>
            <w:r>
              <w:rPr>
                <w:b w:val="false"/>
                <w:bCs w:val="false"/>
              </w:rPr>
              <w:t xml:space="preserve">5</w:t>
            </w:r>
          </w:p>
        </w:tc>
        <w:tc>
          <w:tcPr>
            <w:tcW w:type="dxa" w:w="2200"/>
          </w:tcPr>
          <w:p>
            <w:r>
              <w:rPr>
                <w:b w:val="false"/>
                <w:bCs w:val="false"/>
              </w:rPr>
              <w:t xml:space="preserve">Sí (siempre)</w:t>
            </w:r>
          </w:p>
        </w:tc>
        <w:tc>
          <w:tcPr>
            <w:tcW w:type="dxa" w:w="1800"/>
          </w:tcPr>
          <w:p>
            <w:r>
              <w:rPr>
                <w:b w:val="false"/>
                <w:bCs w:val="false"/>
              </w:rPr>
              <w:t xml:space="preserve">4</w:t>
            </w:r>
          </w:p>
        </w:tc>
        <w:tc>
          <w:tcPr>
            <w:tcW w:type="dxa" w:w="2200"/>
          </w:tcPr>
          <w:p>
            <w:r>
              <w:rPr>
                <w:b w:val="false"/>
                <w:bCs w:val="false"/>
              </w:rPr>
              <w:t xml:space="preserve">Sí</w:t>
            </w:r>
          </w:p>
        </w:tc>
      </w:tr>
      <w:tr>
        <w:tc>
          <w:tcPr>
            <w:tcW w:type="dxa" w:w="2400"/>
          </w:tcPr>
          <w:p>
            <w:r>
              <w:rPr>
                <w:b/>
                <w:bCs/>
              </w:rPr>
              <w:t xml:space="preserve">Núcleo — Adicionales</w:t>
            </w:r>
          </w:p>
        </w:tc>
        <w:tc>
          <w:tcPr>
            <w:tcW w:type="dxa" w:w="1600"/>
          </w:tcPr>
          <w:p>
            <w:r>
              <w:rPr>
                <w:b w:val="false"/>
                <w:bCs w:val="false"/>
              </w:rPr>
              <w:t xml:space="preserve">7</w:t>
            </w:r>
          </w:p>
        </w:tc>
        <w:tc>
          <w:tcPr>
            <w:tcW w:type="dxa" w:w="2200"/>
          </w:tcPr>
          <w:p>
            <w:r>
              <w:rPr>
                <w:b w:val="false"/>
                <w:bCs w:val="false"/>
              </w:rPr>
              <w:t xml:space="preserve">Sí (si se seleccionan)</w:t>
            </w:r>
          </w:p>
        </w:tc>
        <w:tc>
          <w:tcPr>
            <w:tcW w:type="dxa" w:w="1800"/>
          </w:tcPr>
          <w:p>
            <w:r>
              <w:rPr>
                <w:b w:val="false"/>
                <w:bCs w:val="false"/>
              </w:rPr>
              <w:t xml:space="preserve">4</w:t>
            </w:r>
          </w:p>
        </w:tc>
        <w:tc>
          <w:tcPr>
            <w:tcW w:type="dxa" w:w="2200"/>
          </w:tcPr>
          <w:p>
            <w:r>
              <w:rPr>
                <w:b w:val="false"/>
                <w:bCs w:val="false"/>
              </w:rPr>
              <w:t xml:space="preserve">Sí</w:t>
            </w:r>
          </w:p>
        </w:tc>
      </w:tr>
      <w:tr>
        <w:tc>
          <w:tcPr>
            <w:tcW w:type="dxa" w:w="2400"/>
          </w:tcPr>
          <w:p>
            <w:r>
              <w:rPr>
                <w:b/>
                <w:bCs/>
              </w:rPr>
              <w:t xml:space="preserve">Factores Contextuales</w:t>
            </w:r>
          </w:p>
        </w:tc>
        <w:tc>
          <w:tcPr>
            <w:tcW w:type="dxa" w:w="1600"/>
          </w:tcPr>
          <w:p>
            <w:r>
              <w:rPr>
                <w:b w:val="false"/>
                <w:bCs w:val="false"/>
              </w:rPr>
              <w:t xml:space="preserve">9</w:t>
            </w:r>
          </w:p>
        </w:tc>
        <w:tc>
          <w:tcPr>
            <w:tcW w:type="dxa" w:w="2200"/>
          </w:tcPr>
          <w:p>
            <w:r>
              <w:rPr>
                <w:b w:val="false"/>
                <w:bCs w:val="false"/>
              </w:rPr>
              <w:t xml:space="preserve">No, nunca</w:t>
            </w:r>
          </w:p>
        </w:tc>
        <w:tc>
          <w:tcPr>
            <w:tcW w:type="dxa" w:w="1800"/>
          </w:tcPr>
          <w:p>
            <w:r>
              <w:rPr>
                <w:b w:val="false"/>
                <w:bCs w:val="false"/>
              </w:rPr>
              <w:t xml:space="preserve">3</w:t>
            </w:r>
          </w:p>
        </w:tc>
        <w:tc>
          <w:tcPr>
            <w:tcW w:type="dxa" w:w="2200"/>
          </w:tcPr>
          <w:p>
            <w:r>
              <w:rPr>
                <w:b w:val="false"/>
                <w:bCs w:val="false"/>
              </w:rPr>
              <w:t xml:space="preserve">No</w:t>
            </w:r>
          </w:p>
        </w:tc>
      </w:tr>
      <w:tr>
        <w:tc>
          <w:tcPr>
            <w:tcW w:type="dxa" w:w="2400"/>
          </w:tcPr>
          <w:p>
            <w:r>
              <w:rPr>
                <w:b/>
                <w:bCs/>
              </w:rPr>
              <w:t xml:space="preserve">Total</w:t>
            </w:r>
          </w:p>
        </w:tc>
        <w:tc>
          <w:tcPr>
            <w:tcW w:type="dxa" w:w="1600"/>
          </w:tcPr>
          <w:p>
            <w:r>
              <w:rPr>
                <w:b w:val="false"/>
                <w:bCs w:val="false"/>
              </w:rPr>
              <w:t xml:space="preserve">21</w:t>
            </w:r>
          </w:p>
        </w:tc>
        <w:tc>
          <w:tcPr>
            <w:tcW w:type="dxa" w:w="2200"/>
          </w:tcPr>
          <w:p>
            <w:r>
              <w:rPr>
                <w:b w:val="false"/>
                <w:bCs w:val="false"/>
              </w:rPr>
              <w:t xml:space="preserve">—</w:t>
            </w:r>
          </w:p>
        </w:tc>
        <w:tc>
          <w:tcPr>
            <w:tcW w:type="dxa" w:w="1800"/>
          </w:tcPr>
          <w:p>
            <w:r>
              <w:rPr>
                <w:b w:val="false"/>
                <w:bCs w:val="false"/>
              </w:rPr>
              <w:t xml:space="preserve">75</w:t>
            </w:r>
          </w:p>
        </w:tc>
        <w:tc>
          <w:tcPr>
            <w:tcW w:type="dxa" w:w="2200"/>
          </w:tcPr>
          <w:p>
            <w:r>
              <w:rPr>
                <w:b w:val="false"/>
                <w:bCs w:val="false"/>
              </w:rPr>
              <w:t xml:space="preserve">—</w:t>
            </w:r>
          </w:p>
        </w:tc>
      </w:tr>
    </w:tbl>
    <w:p>
      <w:pPr>
        <w:spacing w:after="300"/>
      </w:pPr>
    </w:p>
    <w:p>
      <w:pPr>
        <w:pStyle w:val="Heading1"/>
        <w:spacing w:after="200" w:before="400"/>
      </w:pPr>
      <w:r>
        <w:t xml:space="preserve">Grupo 1 — Núcleo: Base obligatoria (5 dimensiones)</w:t>
      </w:r>
    </w:p>
    <w:p>
      <w:pPr>
        <w:spacing w:after="150"/>
      </w:pPr>
      <w:r>
        <w:t xml:space="preserve">Presentes en TODA batería del instrumento, sin excepción. Constituyen el estándar mínimo.</w:t>
      </w:r>
    </w:p>
    <w:p>
      <w:pPr>
        <w:pStyle w:val="Heading3"/>
        <w:spacing w:after="100" w:before="200"/>
      </w:pPr>
      <w:r>
        <w:t xml:space="preserve">1. Robo</w:t>
      </w:r>
    </w:p>
    <w:p>
      <w:pPr>
        <w:spacing w:after="100"/>
      </w:pPr>
      <w:r>
        <w:rPr>
          <w:b/>
          <w:bCs/>
        </w:rPr>
        <w:t xml:space="preserve">Grupo: </w:t>
      </w:r>
      <w:r>
        <w:t xml:space="preserve">Núcleo — Base obligatoria</w:t>
      </w:r>
    </w:p>
    <w:p>
      <w:pPr>
        <w:spacing w:after="100"/>
      </w:pPr>
      <w:r>
        <w:rPr>
          <w:b/>
          <w:bCs/>
        </w:rPr>
        <w:t xml:space="preserve">Definición conceptual (fuente teórica): </w:t>
      </w:r>
      <w:r>
        <w:t xml:space="preserve">Se ancla en la tipología de desviación laboral de Robinson y Bennett (1995), que clasifica la desviación de propiedad como una de las formas centrales de comportamiento organizacional contraproducente: la apropiación indebida de bienes, dinero, información o tiempo que pertenecen a otro.</w:t>
      </w:r>
    </w:p>
    <w:p>
      <w:pPr>
        <w:spacing w:after="100"/>
      </w:pPr>
      <w:r>
        <w:rPr>
          <w:b/>
          <w:bCs/>
        </w:rPr>
        <w:t xml:space="preserve">Definición operacional: </w:t>
      </w:r>
      <w:r>
        <w:t xml:space="preserve">Sustracción, uso no autorizado o apropiación de bienes, dinero, información o tiempo que pertenecen a otra persona u organización, sin su consentimiento explícito.</w:t>
      </w:r>
    </w:p>
    <w:p>
      <w:pPr>
        <w:spacing w:after="60"/>
      </w:pPr>
      <w:r>
        <w:rPr>
          <w:b/>
          <w:bCs/>
        </w:rPr>
        <w:t xml:space="preserve">Indicadores conductuales:</w:t>
      </w:r>
    </w:p>
    <w:p>
      <w:pPr>
        <w:pStyle w:val="ListParagraph"/>
        <w:numPr>
          <w:ilvl w:val="0"/>
          <w:numId w:val="1"/>
        </w:numPr>
        <w:spacing w:after="60"/>
      </w:pPr>
      <w:r>
        <w:t xml:space="preserve">Apropiación de bienes materiales ajenos (dinero, mercancía, insumos).</w:t>
      </w:r>
    </w:p>
    <w:p>
      <w:pPr>
        <w:pStyle w:val="ListParagraph"/>
        <w:numPr>
          <w:ilvl w:val="0"/>
          <w:numId w:val="1"/>
        </w:numPr>
        <w:spacing w:after="60"/>
      </w:pPr>
      <w:r>
        <w:t xml:space="preserve">Uso no autorizado de información confidencial o propiedad intelectual de terceros.</w:t>
      </w:r>
    </w:p>
    <w:p>
      <w:pPr>
        <w:pStyle w:val="ListParagraph"/>
        <w:numPr>
          <w:ilvl w:val="0"/>
          <w:numId w:val="1"/>
        </w:numPr>
        <w:spacing w:after="60"/>
      </w:pPr>
      <w:r>
        <w:t xml:space="preserve">Sustracción de tiempo laboral remunerado (reportar horas no trabajadas, ausencias no declaradas).</w:t>
      </w:r>
    </w:p>
    <w:p>
      <w:pPr>
        <w:pStyle w:val="ListParagraph"/>
        <w:numPr>
          <w:ilvl w:val="0"/>
          <w:numId w:val="1"/>
        </w:numPr>
        <w:spacing w:after="60"/>
      </w:pPr>
      <w:r>
        <w:t xml:space="preserve">Racionalización de la sustracción como "no es robo real" cuando el daño es indirecto o difuso.</w:t>
      </w:r>
    </w:p>
    <w:p>
      <w:pPr>
        <w:spacing w:after="100"/>
      </w:pPr>
    </w:p>
    <w:p>
      <w:pPr>
        <w:pStyle w:val="Heading3"/>
        <w:spacing w:after="100" w:before="200"/>
      </w:pPr>
      <w:r>
        <w:t xml:space="preserve">2. Mentira</w:t>
      </w:r>
    </w:p>
    <w:p>
      <w:pPr>
        <w:spacing w:after="100"/>
      </w:pPr>
      <w:r>
        <w:rPr>
          <w:b/>
          <w:bCs/>
        </w:rPr>
        <w:t xml:space="preserve">Grupo: </w:t>
      </w:r>
      <w:r>
        <w:t xml:space="preserve">Núcleo — Base obligatoria</w:t>
      </w:r>
    </w:p>
    <w:p>
      <w:pPr>
        <w:spacing w:after="100"/>
      </w:pPr>
      <w:r>
        <w:rPr>
          <w:b/>
          <w:bCs/>
        </w:rPr>
        <w:t xml:space="preserve">Definición conceptual (fuente teórica): </w:t>
      </w:r>
      <w:r>
        <w:t xml:space="preserve">Se apoya en la literatura sobre engaño interpersonal cotidiano (DePaulo et al., 1996) y en la teoría de la disonancia cognitiva (Festinger, 1957), que explica la justificación posterior de afirmaciones falsas como mecanismo de reducción de conflicto interno.</w:t>
      </w:r>
    </w:p>
    <w:p>
      <w:pPr>
        <w:spacing w:after="100"/>
      </w:pPr>
      <w:r>
        <w:rPr>
          <w:b/>
          <w:bCs/>
        </w:rPr>
        <w:t xml:space="preserve">Definición operacional: </w:t>
      </w:r>
      <w:r>
        <w:t xml:space="preserve">Tendencia a emitir afirmaciones que la persona sabe falsas, o a omitir/distorsionar información relevante, con el fin de obtener una ventaja, evitar una consecuencia negativa o proteger la propia imagen.</w:t>
      </w:r>
    </w:p>
    <w:p>
      <w:pPr>
        <w:spacing w:after="60"/>
      </w:pPr>
      <w:r>
        <w:rPr>
          <w:b/>
          <w:bCs/>
        </w:rPr>
        <w:t xml:space="preserve">Indicadores conductuales:</w:t>
      </w:r>
    </w:p>
    <w:p>
      <w:pPr>
        <w:pStyle w:val="ListParagraph"/>
        <w:numPr>
          <w:ilvl w:val="0"/>
          <w:numId w:val="1"/>
        </w:numPr>
        <w:spacing w:after="60"/>
      </w:pPr>
      <w:r>
        <w:t xml:space="preserve">Frecuencia declarada de afirmaciones falsas para evitar consecuencias negativas.</w:t>
      </w:r>
    </w:p>
    <w:p>
      <w:pPr>
        <w:pStyle w:val="ListParagraph"/>
        <w:numPr>
          <w:ilvl w:val="0"/>
          <w:numId w:val="1"/>
        </w:numPr>
        <w:spacing w:after="60"/>
      </w:pPr>
      <w:r>
        <w:t xml:space="preserve">Distorsión selectiva de hechos para presentarse en una posición favorable.</w:t>
      </w:r>
    </w:p>
    <w:p>
      <w:pPr>
        <w:pStyle w:val="ListParagraph"/>
        <w:numPr>
          <w:ilvl w:val="0"/>
          <w:numId w:val="1"/>
        </w:numPr>
        <w:spacing w:after="60"/>
      </w:pPr>
      <w:r>
        <w:t xml:space="preserve">Comodidad declarada con mentir "cuando no hace daño a nadie".</w:t>
      </w:r>
    </w:p>
    <w:p>
      <w:pPr>
        <w:pStyle w:val="ListParagraph"/>
        <w:numPr>
          <w:ilvl w:val="0"/>
          <w:numId w:val="1"/>
        </w:numPr>
        <w:spacing w:after="60"/>
      </w:pPr>
      <w:r>
        <w:t xml:space="preserve">Inconsistencia entre lo declarado en distintos momentos o ante distintas personas.</w:t>
      </w:r>
    </w:p>
    <w:p>
      <w:pPr>
        <w:spacing w:after="100"/>
      </w:pPr>
    </w:p>
    <w:p>
      <w:pPr>
        <w:pStyle w:val="Heading3"/>
        <w:spacing w:after="100" w:before="200"/>
      </w:pPr>
      <w:r>
        <w:t xml:space="preserve">3. Fraude</w:t>
      </w:r>
    </w:p>
    <w:p>
      <w:pPr>
        <w:spacing w:after="100"/>
      </w:pPr>
      <w:r>
        <w:rPr>
          <w:b/>
          <w:bCs/>
        </w:rPr>
        <w:t xml:space="preserve">Grupo: </w:t>
      </w:r>
      <w:r>
        <w:t xml:space="preserve">Núcleo — Base obligatoria</w:t>
      </w:r>
    </w:p>
    <w:p>
      <w:pPr>
        <w:spacing w:after="100"/>
      </w:pPr>
      <w:r>
        <w:rPr>
          <w:b/>
          <w:bCs/>
        </w:rPr>
        <w:t xml:space="preserve">Definición conceptual (fuente teórica): </w:t>
      </w:r>
      <w:r>
        <w:t xml:space="preserve">Se basa en el triángulo del fraude de Cressey (1953) —presión, oportunidad y racionalización— como marco explicativo de la alteración deliberada de información para obtener un beneficio indebido.</w:t>
      </w:r>
    </w:p>
    <w:p>
      <w:pPr>
        <w:spacing w:after="100"/>
      </w:pPr>
      <w:r>
        <w:rPr>
          <w:b/>
          <w:bCs/>
        </w:rPr>
        <w:t xml:space="preserve">Definición operacional: </w:t>
      </w:r>
      <w:r>
        <w:t xml:space="preserve">Alteración deliberada de documentos, registros, cifras o información con el propósito de obtener un beneficio indebido para sí mismo o para terceros.</w:t>
      </w:r>
    </w:p>
    <w:p>
      <w:pPr>
        <w:spacing w:after="60"/>
      </w:pPr>
      <w:r>
        <w:rPr>
          <w:b/>
          <w:bCs/>
        </w:rPr>
        <w:t xml:space="preserve">Indicadores conductuales:</w:t>
      </w:r>
    </w:p>
    <w:p>
      <w:pPr>
        <w:pStyle w:val="ListParagraph"/>
        <w:numPr>
          <w:ilvl w:val="0"/>
          <w:numId w:val="1"/>
        </w:numPr>
        <w:spacing w:after="60"/>
      </w:pPr>
      <w:r>
        <w:t xml:space="preserve">Disposición a modificar registros o documentos para obtener un beneficio propio.</w:t>
      </w:r>
    </w:p>
    <w:p>
      <w:pPr>
        <w:pStyle w:val="ListParagraph"/>
        <w:numPr>
          <w:ilvl w:val="0"/>
          <w:numId w:val="1"/>
        </w:numPr>
        <w:spacing w:after="60"/>
      </w:pPr>
      <w:r>
        <w:t xml:space="preserve">Justificación de la alteración de datos cuando se percibe que "nadie se dará cuenta".</w:t>
      </w:r>
    </w:p>
    <w:p>
      <w:pPr>
        <w:pStyle w:val="ListParagraph"/>
        <w:numPr>
          <w:ilvl w:val="0"/>
          <w:numId w:val="1"/>
        </w:numPr>
        <w:spacing w:after="60"/>
      </w:pPr>
      <w:r>
        <w:t xml:space="preserve">Uso de información falsa en procesos formales (reportes, solicitudes, certificaciones).</w:t>
      </w:r>
    </w:p>
    <w:p>
      <w:pPr>
        <w:pStyle w:val="ListParagraph"/>
        <w:numPr>
          <w:ilvl w:val="0"/>
          <w:numId w:val="1"/>
        </w:numPr>
        <w:spacing w:after="60"/>
      </w:pPr>
      <w:r>
        <w:t xml:space="preserve">Tolerancia hacia el fraude cometido por otros cuando beneficia al grupo propio.</w:t>
      </w:r>
    </w:p>
    <w:p>
      <w:pPr>
        <w:spacing w:after="100"/>
      </w:pPr>
    </w:p>
    <w:p>
      <w:pPr>
        <w:pStyle w:val="Heading3"/>
        <w:spacing w:after="100" w:before="200"/>
      </w:pPr>
      <w:r>
        <w:t xml:space="preserve">4. Irresponsabilidad</w:t>
      </w:r>
    </w:p>
    <w:p>
      <w:pPr>
        <w:spacing w:after="100"/>
      </w:pPr>
      <w:r>
        <w:rPr>
          <w:b/>
          <w:bCs/>
        </w:rPr>
        <w:t xml:space="preserve">Grupo: </w:t>
      </w:r>
      <w:r>
        <w:t xml:space="preserve">Núcleo — Base obligatoria</w:t>
      </w:r>
    </w:p>
    <w:p>
      <w:pPr>
        <w:spacing w:after="100"/>
      </w:pPr>
      <w:r>
        <w:rPr>
          <w:b/>
          <w:bCs/>
        </w:rPr>
        <w:t xml:space="preserve">Definición conceptual (fuente teórica): </w:t>
      </w:r>
      <w:r>
        <w:t xml:space="preserve">Se fundamenta en la teoría de la atribución causal (Weiner, 1985), particularmente en el patrón de atribución externa sistemática de los resultados negativos propios como mecanismo de evasión de responsabilidad.</w:t>
      </w:r>
    </w:p>
    <w:p>
      <w:pPr>
        <w:spacing w:after="100"/>
      </w:pPr>
      <w:r>
        <w:rPr>
          <w:b/>
          <w:bCs/>
        </w:rPr>
        <w:t xml:space="preserve">Definición operacional: </w:t>
      </w:r>
      <w:r>
        <w:t xml:space="preserve">Tendencia a evadir las consecuencias de los propios actos u omisiones, incluyendo trasladar la culpa a terceros o a circunstancias externas.</w:t>
      </w:r>
    </w:p>
    <w:p>
      <w:pPr>
        <w:spacing w:after="60"/>
      </w:pPr>
      <w:r>
        <w:rPr>
          <w:b/>
          <w:bCs/>
        </w:rPr>
        <w:t xml:space="preserve">Indicadores conductuales:</w:t>
      </w:r>
    </w:p>
    <w:p>
      <w:pPr>
        <w:pStyle w:val="ListParagraph"/>
        <w:numPr>
          <w:ilvl w:val="0"/>
          <w:numId w:val="1"/>
        </w:numPr>
        <w:spacing w:after="60"/>
      </w:pPr>
      <w:r>
        <w:t xml:space="preserve">Atribución de errores propios a factores externos o a otras personas.</w:t>
      </w:r>
    </w:p>
    <w:p>
      <w:pPr>
        <w:pStyle w:val="ListParagraph"/>
        <w:numPr>
          <w:ilvl w:val="0"/>
          <w:numId w:val="1"/>
        </w:numPr>
        <w:spacing w:after="60"/>
      </w:pPr>
      <w:r>
        <w:t xml:space="preserve">Evitación de tareas o compromisos previamente asumidos, sin justificación válida.</w:t>
      </w:r>
    </w:p>
    <w:p>
      <w:pPr>
        <w:pStyle w:val="ListParagraph"/>
        <w:numPr>
          <w:ilvl w:val="0"/>
          <w:numId w:val="1"/>
        </w:numPr>
        <w:spacing w:after="60"/>
      </w:pPr>
      <w:r>
        <w:t xml:space="preserve">Minimización declarada del impacto de los propios errores.</w:t>
      </w:r>
    </w:p>
    <w:p>
      <w:pPr>
        <w:pStyle w:val="ListParagraph"/>
        <w:numPr>
          <w:ilvl w:val="0"/>
          <w:numId w:val="1"/>
        </w:numPr>
        <w:spacing w:after="60"/>
      </w:pPr>
      <w:r>
        <w:t xml:space="preserve">Ausencia de seguimiento a compromisos pendientes.</w:t>
      </w:r>
    </w:p>
    <w:p>
      <w:pPr>
        <w:spacing w:after="100"/>
      </w:pPr>
    </w:p>
    <w:p>
      <w:pPr>
        <w:pStyle w:val="Heading3"/>
        <w:spacing w:after="100" w:before="200"/>
      </w:pPr>
      <w:r>
        <w:t xml:space="preserve">5. Soborno</w:t>
      </w:r>
    </w:p>
    <w:p>
      <w:pPr>
        <w:spacing w:after="100"/>
      </w:pPr>
      <w:r>
        <w:rPr>
          <w:b/>
          <w:bCs/>
        </w:rPr>
        <w:t xml:space="preserve">Grupo: </w:t>
      </w:r>
      <w:r>
        <w:t xml:space="preserve">Núcleo — Base obligatoria</w:t>
      </w:r>
    </w:p>
    <w:p>
      <w:pPr>
        <w:spacing w:after="100"/>
      </w:pPr>
      <w:r>
        <w:rPr>
          <w:b/>
          <w:bCs/>
        </w:rPr>
        <w:t xml:space="preserve">Definición conceptual (fuente teórica): </w:t>
      </w:r>
      <w:r>
        <w:t xml:space="preserve">Se apoya en la teoría del intercambio social (Blau, 1964) aplicada a transacciones ilegítimas de influencia, y en el modelo de normalización de la corrupción organizacional (Ashforth y Anand, 2003).</w:t>
      </w:r>
    </w:p>
    <w:p>
      <w:pPr>
        <w:spacing w:after="100"/>
      </w:pPr>
      <w:r>
        <w:rPr>
          <w:b/>
          <w:bCs/>
        </w:rPr>
        <w:t xml:space="preserve">Definición operacional: </w:t>
      </w:r>
      <w:r>
        <w:t xml:space="preserve">Disposición a ofrecer, solicitar o aceptar dinero, favores o cualquier otro beneficio a cambio de una decisión o concesión que viola una norma, regla o deber.</w:t>
      </w:r>
    </w:p>
    <w:p>
      <w:pPr>
        <w:spacing w:after="60"/>
      </w:pPr>
      <w:r>
        <w:rPr>
          <w:b/>
          <w:bCs/>
        </w:rPr>
        <w:t xml:space="preserve">Indicadores conductuales:</w:t>
      </w:r>
    </w:p>
    <w:p>
      <w:pPr>
        <w:pStyle w:val="ListParagraph"/>
        <w:numPr>
          <w:ilvl w:val="0"/>
          <w:numId w:val="1"/>
        </w:numPr>
        <w:spacing w:after="60"/>
      </w:pPr>
      <w:r>
        <w:t xml:space="preserve">Aceptación de regalos o favores condicionados a decisiones futuras.</w:t>
      </w:r>
    </w:p>
    <w:p>
      <w:pPr>
        <w:pStyle w:val="ListParagraph"/>
        <w:numPr>
          <w:ilvl w:val="0"/>
          <w:numId w:val="1"/>
        </w:numPr>
        <w:spacing w:after="60"/>
      </w:pPr>
      <w:r>
        <w:t xml:space="preserve">Disposición declarada a ofrecer beneficios indebidos para obtener una ventaja.</w:t>
      </w:r>
    </w:p>
    <w:p>
      <w:pPr>
        <w:pStyle w:val="ListParagraph"/>
        <w:numPr>
          <w:ilvl w:val="0"/>
          <w:numId w:val="1"/>
        </w:numPr>
        <w:spacing w:after="60"/>
      </w:pPr>
      <w:r>
        <w:t xml:space="preserve">Normalización del soborno como "así funcionan las cosas".</w:t>
      </w:r>
    </w:p>
    <w:p>
      <w:pPr>
        <w:pStyle w:val="ListParagraph"/>
        <w:numPr>
          <w:ilvl w:val="0"/>
          <w:numId w:val="1"/>
        </w:numPr>
        <w:spacing w:after="60"/>
      </w:pPr>
      <w:r>
        <w:t xml:space="preserve">Percepción de bajo riesgo de sanción asociado al soborno.</w:t>
      </w:r>
    </w:p>
    <w:p>
      <w:pPr>
        <w:spacing w:after="100"/>
      </w:pPr>
    </w:p>
    <w:p>
      <w:pPr>
        <w:pStyle w:val="Heading1"/>
        <w:spacing w:after="200" w:before="400"/>
      </w:pPr>
      <w:r>
        <w:t xml:space="preserve">Grupo 2 — Núcleo: Adicionales (7 dimensiones)</w:t>
      </w:r>
    </w:p>
    <w:p>
      <w:pPr>
        <w:spacing w:after="150"/>
      </w:pPr>
      <w:r>
        <w:t xml:space="preserve">Se agregan a la Base según el análisis de riesgo del puesto; no siempre se incluyen las 7 juntas.</w:t>
      </w:r>
    </w:p>
    <w:p>
      <w:pPr>
        <w:pStyle w:val="Heading3"/>
        <w:spacing w:after="100" w:before="200"/>
      </w:pPr>
      <w:r>
        <w:t xml:space="preserve">6. Deslealtad</w:t>
      </w:r>
    </w:p>
    <w:p>
      <w:pPr>
        <w:spacing w:after="100"/>
      </w:pPr>
      <w:r>
        <w:rPr>
          <w:b/>
          <w:bCs/>
        </w:rPr>
        <w:t xml:space="preserve">Grupo: </w:t>
      </w:r>
      <w:r>
        <w:t xml:space="preserve">Núcleo — Adicional</w:t>
      </w:r>
    </w:p>
    <w:p>
      <w:pPr>
        <w:spacing w:after="100"/>
      </w:pPr>
      <w:r>
        <w:rPr>
          <w:b/>
          <w:bCs/>
        </w:rPr>
        <w:t xml:space="preserve">Definición conceptual (fuente teórica): </w:t>
      </w:r>
      <w:r>
        <w:t xml:space="preserve">Se basa en la teoría del contrato psicológico organizacional (Rousseau, 1989) y en el modelo de compromiso organizacional de Meyer y Allen (1991), que describen el vínculo de obligación mutua entre persona y organización.</w:t>
      </w:r>
    </w:p>
    <w:p>
      <w:pPr>
        <w:spacing w:after="100"/>
      </w:pPr>
      <w:r>
        <w:rPr>
          <w:b/>
          <w:bCs/>
        </w:rPr>
        <w:t xml:space="preserve">Definición operacional: </w:t>
      </w:r>
      <w:r>
        <w:t xml:space="preserve">Disposición a actuar en contra de los intereses legítimos de la organización a la que se pertenece, incluyendo divulgar información sensible, sabotear procesos o favorecer activamente a la competencia.</w:t>
      </w:r>
    </w:p>
    <w:p>
      <w:pPr>
        <w:spacing w:after="60"/>
      </w:pPr>
      <w:r>
        <w:rPr>
          <w:b/>
          <w:bCs/>
        </w:rPr>
        <w:t xml:space="preserve">Indicadores conductuales:</w:t>
      </w:r>
    </w:p>
    <w:p>
      <w:pPr>
        <w:pStyle w:val="ListParagraph"/>
        <w:numPr>
          <w:ilvl w:val="0"/>
          <w:numId w:val="1"/>
        </w:numPr>
        <w:spacing w:after="60"/>
      </w:pPr>
      <w:r>
        <w:t xml:space="preserve">Disposición a compartir información interna con terceros no autorizados.</w:t>
      </w:r>
    </w:p>
    <w:p>
      <w:pPr>
        <w:pStyle w:val="ListParagraph"/>
        <w:numPr>
          <w:ilvl w:val="0"/>
          <w:numId w:val="1"/>
        </w:numPr>
        <w:spacing w:after="60"/>
      </w:pPr>
      <w:r>
        <w:t xml:space="preserve">Actitud favorable hacia acciones que dañan la reputación de la organización.</w:t>
      </w:r>
    </w:p>
    <w:p>
      <w:pPr>
        <w:pStyle w:val="ListParagraph"/>
        <w:numPr>
          <w:ilvl w:val="0"/>
          <w:numId w:val="1"/>
        </w:numPr>
        <w:spacing w:after="60"/>
      </w:pPr>
      <w:r>
        <w:t xml:space="preserve">Disposición a colaborar con la competencia mientras se mantiene la relación laboral.</w:t>
      </w:r>
    </w:p>
    <w:p>
      <w:pPr>
        <w:pStyle w:val="ListParagraph"/>
        <w:numPr>
          <w:ilvl w:val="0"/>
          <w:numId w:val="1"/>
        </w:numPr>
        <w:spacing w:after="60"/>
      </w:pPr>
      <w:r>
        <w:t xml:space="preserve">Baja identificación declarada con los objetivos organizacionales.</w:t>
      </w:r>
    </w:p>
    <w:p>
      <w:pPr>
        <w:spacing w:after="100"/>
      </w:pPr>
    </w:p>
    <w:p>
      <w:pPr>
        <w:pStyle w:val="Heading3"/>
        <w:spacing w:after="100" w:before="200"/>
      </w:pPr>
      <w:r>
        <w:t xml:space="preserve">7. Favoritismo</w:t>
      </w:r>
    </w:p>
    <w:p>
      <w:pPr>
        <w:spacing w:after="100"/>
      </w:pPr>
      <w:r>
        <w:rPr>
          <w:b/>
          <w:bCs/>
        </w:rPr>
        <w:t xml:space="preserve">Grupo: </w:t>
      </w:r>
      <w:r>
        <w:t xml:space="preserve">Núcleo — Adicional</w:t>
      </w:r>
    </w:p>
    <w:p>
      <w:pPr>
        <w:spacing w:after="100"/>
      </w:pPr>
      <w:r>
        <w:rPr>
          <w:b/>
          <w:bCs/>
        </w:rPr>
        <w:t xml:space="preserve">Definición conceptual (fuente teórica): </w:t>
      </w:r>
      <w:r>
        <w:t xml:space="preserve">Se apoya en la teoría de la justicia organizacional (Colquitt, 2001), específicamente en la dimensión de justicia procedimental, que se ve vulnerada cuando las decisiones se basan en cercanía relacional en lugar de criterios objetivos.</w:t>
      </w:r>
    </w:p>
    <w:p>
      <w:pPr>
        <w:spacing w:after="100"/>
      </w:pPr>
      <w:r>
        <w:rPr>
          <w:b/>
          <w:bCs/>
        </w:rPr>
        <w:t xml:space="preserve">Definición operacional: </w:t>
      </w:r>
      <w:r>
        <w:t xml:space="preserve">Tendencia a anteponer relaciones personales, afinidades o intereses propios a criterios objetivos al tomar decisiones que afectan a terceros.</w:t>
      </w:r>
    </w:p>
    <w:p>
      <w:pPr>
        <w:spacing w:after="60"/>
      </w:pPr>
      <w:r>
        <w:rPr>
          <w:b/>
          <w:bCs/>
        </w:rPr>
        <w:t xml:space="preserve">Indicadores conductuales:</w:t>
      </w:r>
    </w:p>
    <w:p>
      <w:pPr>
        <w:pStyle w:val="ListParagraph"/>
        <w:numPr>
          <w:ilvl w:val="0"/>
          <w:numId w:val="1"/>
        </w:numPr>
        <w:spacing w:after="60"/>
      </w:pPr>
      <w:r>
        <w:t xml:space="preserve">Preferencia declarada por decisiones basadas en cercanía personal antes que en el mérito.</w:t>
      </w:r>
    </w:p>
    <w:p>
      <w:pPr>
        <w:pStyle w:val="ListParagraph"/>
        <w:numPr>
          <w:ilvl w:val="0"/>
          <w:numId w:val="1"/>
        </w:numPr>
        <w:spacing w:after="60"/>
      </w:pPr>
      <w:r>
        <w:t xml:space="preserve">Disposición a beneficiar a conocidos en procesos donde debería primar la objetividad.</w:t>
      </w:r>
    </w:p>
    <w:p>
      <w:pPr>
        <w:pStyle w:val="ListParagraph"/>
        <w:numPr>
          <w:ilvl w:val="0"/>
          <w:numId w:val="1"/>
        </w:numPr>
        <w:spacing w:after="60"/>
      </w:pPr>
      <w:r>
        <w:t xml:space="preserve">Minimización de conflictos de interés propios al tomar decisiones.</w:t>
      </w:r>
    </w:p>
    <w:p>
      <w:pPr>
        <w:pStyle w:val="ListParagraph"/>
        <w:numPr>
          <w:ilvl w:val="0"/>
          <w:numId w:val="1"/>
        </w:numPr>
        <w:spacing w:after="60"/>
      </w:pPr>
      <w:r>
        <w:t xml:space="preserve">Justificación de decisiones sesgadas como algo "normal" o "esperable".</w:t>
      </w:r>
    </w:p>
    <w:p>
      <w:pPr>
        <w:spacing w:after="100"/>
      </w:pPr>
    </w:p>
    <w:p>
      <w:pPr>
        <w:pStyle w:val="Heading3"/>
        <w:spacing w:after="100" w:before="200"/>
      </w:pPr>
      <w:r>
        <w:t xml:space="preserve">8. Abuso de Recursos</w:t>
      </w:r>
    </w:p>
    <w:p>
      <w:pPr>
        <w:spacing w:after="100"/>
      </w:pPr>
      <w:r>
        <w:rPr>
          <w:b/>
          <w:bCs/>
        </w:rPr>
        <w:t xml:space="preserve">Grupo: </w:t>
      </w:r>
      <w:r>
        <w:t xml:space="preserve">Núcleo — Adicional</w:t>
      </w:r>
    </w:p>
    <w:p>
      <w:pPr>
        <w:spacing w:after="100"/>
      </w:pPr>
      <w:r>
        <w:rPr>
          <w:b/>
          <w:bCs/>
        </w:rPr>
        <w:t xml:space="preserve">Definición conceptual (fuente teórica): </w:t>
      </w:r>
      <w:r>
        <w:t xml:space="preserve">Se fundamenta en la categoría de desviación de producción de Robinson y Bennett (1995), referida al uso indebido de recursos, tiempo o activos organizacionales para fines ajenos a la función asignada.</w:t>
      </w:r>
    </w:p>
    <w:p>
      <w:pPr>
        <w:spacing w:after="100"/>
      </w:pPr>
      <w:r>
        <w:rPr>
          <w:b/>
          <w:bCs/>
        </w:rPr>
        <w:t xml:space="preserve">Definición operacional: </w:t>
      </w:r>
      <w:r>
        <w:t xml:space="preserve">Uso de recursos, tiempo, equipos o activos de la organización para fines personales no autorizados, más allá de lo razonablemente tolerado.</w:t>
      </w:r>
    </w:p>
    <w:p>
      <w:pPr>
        <w:spacing w:after="60"/>
      </w:pPr>
      <w:r>
        <w:rPr>
          <w:b/>
          <w:bCs/>
        </w:rPr>
        <w:t xml:space="preserve">Indicadores conductuales:</w:t>
      </w:r>
    </w:p>
    <w:p>
      <w:pPr>
        <w:pStyle w:val="ListParagraph"/>
        <w:numPr>
          <w:ilvl w:val="0"/>
          <w:numId w:val="1"/>
        </w:numPr>
        <w:spacing w:after="60"/>
      </w:pPr>
      <w:r>
        <w:t xml:space="preserve">Uso de equipos o materiales organizacionales para asuntos personales.</w:t>
      </w:r>
    </w:p>
    <w:p>
      <w:pPr>
        <w:pStyle w:val="ListParagraph"/>
        <w:numPr>
          <w:ilvl w:val="0"/>
          <w:numId w:val="1"/>
        </w:numPr>
        <w:spacing w:after="60"/>
      </w:pPr>
      <w:r>
        <w:t xml:space="preserve">Uso del tiempo laboral para actividades ajenas a las funciones asignadas.</w:t>
      </w:r>
    </w:p>
    <w:p>
      <w:pPr>
        <w:pStyle w:val="ListParagraph"/>
        <w:numPr>
          <w:ilvl w:val="0"/>
          <w:numId w:val="1"/>
        </w:numPr>
        <w:spacing w:after="60"/>
      </w:pPr>
      <w:r>
        <w:t xml:space="preserve">Justificación del uso indebido como "algo que todos hacen".</w:t>
      </w:r>
    </w:p>
    <w:p>
      <w:pPr>
        <w:pStyle w:val="ListParagraph"/>
        <w:numPr>
          <w:ilvl w:val="0"/>
          <w:numId w:val="1"/>
        </w:numPr>
        <w:spacing w:after="60"/>
      </w:pPr>
      <w:r>
        <w:t xml:space="preserve">Disposición a usar contactos o recursos institucionales para beneficio personal.</w:t>
      </w:r>
    </w:p>
    <w:p>
      <w:pPr>
        <w:spacing w:after="100"/>
      </w:pPr>
    </w:p>
    <w:p>
      <w:pPr>
        <w:pStyle w:val="Heading3"/>
        <w:spacing w:after="100" w:before="200"/>
      </w:pPr>
      <w:r>
        <w:t xml:space="preserve">9. Acoso Sexual</w:t>
      </w:r>
    </w:p>
    <w:p>
      <w:pPr>
        <w:spacing w:after="100"/>
      </w:pPr>
      <w:r>
        <w:rPr>
          <w:b/>
          <w:bCs/>
        </w:rPr>
        <w:t xml:space="preserve">Grupo: </w:t>
      </w:r>
      <w:r>
        <w:t xml:space="preserve">Núcleo — Adicional</w:t>
      </w:r>
    </w:p>
    <w:p>
      <w:pPr>
        <w:spacing w:after="100"/>
      </w:pPr>
      <w:r>
        <w:rPr>
          <w:b/>
          <w:bCs/>
        </w:rPr>
        <w:t xml:space="preserve">Definición conceptual (fuente teórica): </w:t>
      </w:r>
      <w:r>
        <w:t xml:space="preserve">Se apoya en el modelo de acoso sexual laboral basado en el poder de Fitzgerald, Swan y Magley (1997), que enmarca esta conducta como un ejercicio no consentido de naturaleza sexual ligado a una asimetría de poder.</w:t>
      </w:r>
    </w:p>
    <w:p>
      <w:pPr>
        <w:spacing w:after="100"/>
      </w:pPr>
      <w:r>
        <w:rPr>
          <w:b/>
          <w:bCs/>
        </w:rPr>
        <w:t xml:space="preserve">Definición operacional: </w:t>
      </w:r>
      <w:r>
        <w:t xml:space="preserve">Conducta no deseada de naturaleza sexual —verbal, no verbal o física— dirigida hacia otra persona, que genera un ambiente hostil o condiciona una decisión.</w:t>
      </w:r>
    </w:p>
    <w:p>
      <w:pPr>
        <w:spacing w:after="60"/>
      </w:pPr>
      <w:r>
        <w:rPr>
          <w:b/>
          <w:bCs/>
        </w:rPr>
        <w:t xml:space="preserve">Indicadores conductuales:</w:t>
      </w:r>
    </w:p>
    <w:p>
      <w:pPr>
        <w:pStyle w:val="ListParagraph"/>
        <w:numPr>
          <w:ilvl w:val="0"/>
          <w:numId w:val="1"/>
        </w:numPr>
        <w:spacing w:after="60"/>
      </w:pPr>
      <w:r>
        <w:t xml:space="preserve">Tolerancia hacia comentarios o insinuaciones sexuales no deseadas en el entorno laboral.</w:t>
      </w:r>
    </w:p>
    <w:p>
      <w:pPr>
        <w:pStyle w:val="ListParagraph"/>
        <w:numPr>
          <w:ilvl w:val="0"/>
          <w:numId w:val="1"/>
        </w:numPr>
        <w:spacing w:after="60"/>
      </w:pPr>
      <w:r>
        <w:t xml:space="preserve">Minimización declarada de la gravedad de conductas de naturaleza sexual no consentidas.</w:t>
      </w:r>
    </w:p>
    <w:p>
      <w:pPr>
        <w:pStyle w:val="ListParagraph"/>
        <w:numPr>
          <w:ilvl w:val="0"/>
          <w:numId w:val="1"/>
        </w:numPr>
        <w:spacing w:after="60"/>
      </w:pPr>
      <w:r>
        <w:t xml:space="preserve">Disposición a condicionar decisiones a cambio de favores de naturaleza sexual.</w:t>
      </w:r>
    </w:p>
    <w:p>
      <w:pPr>
        <w:pStyle w:val="ListParagraph"/>
        <w:numPr>
          <w:ilvl w:val="0"/>
          <w:numId w:val="1"/>
        </w:numPr>
        <w:spacing w:after="60"/>
      </w:pPr>
      <w:r>
        <w:t xml:space="preserve">Percepción de baja consecuencia asociada a este tipo de conductas.</w:t>
      </w:r>
    </w:p>
    <w:p>
      <w:pPr>
        <w:spacing w:after="100"/>
      </w:pPr>
    </w:p>
    <w:p>
      <w:pPr>
        <w:pStyle w:val="Heading3"/>
        <w:spacing w:after="100" w:before="200"/>
      </w:pPr>
      <w:r>
        <w:t xml:space="preserve">10. Maltrato Laboral</w:t>
      </w:r>
    </w:p>
    <w:p>
      <w:pPr>
        <w:spacing w:after="100"/>
      </w:pPr>
      <w:r>
        <w:rPr>
          <w:b/>
          <w:bCs/>
        </w:rPr>
        <w:t xml:space="preserve">Grupo: </w:t>
      </w:r>
      <w:r>
        <w:t xml:space="preserve">Núcleo — Adicional</w:t>
      </w:r>
    </w:p>
    <w:p>
      <w:pPr>
        <w:spacing w:after="100"/>
      </w:pPr>
      <w:r>
        <w:rPr>
          <w:b/>
          <w:bCs/>
        </w:rPr>
        <w:t xml:space="preserve">Definición conceptual (fuente teórica): </w:t>
      </w:r>
      <w:r>
        <w:t xml:space="preserve">Se basa en la literatura sobre acoso psicológico en el trabajo o mobbing (Leymann, 1990; Einarsen et al., 2011), centrada en el uso sistemático del poder para intimidar u hostigar.</w:t>
      </w:r>
    </w:p>
    <w:p>
      <w:pPr>
        <w:spacing w:after="100"/>
      </w:pPr>
      <w:r>
        <w:rPr>
          <w:b/>
          <w:bCs/>
        </w:rPr>
        <w:t xml:space="preserve">Definición operacional: </w:t>
      </w:r>
      <w:r>
        <w:t xml:space="preserve">Uso de una posición de autoridad o poder para intimidar, humillar, hostigar o menospreciar sistemáticamente a otra persona en el entorno laboral.</w:t>
      </w:r>
    </w:p>
    <w:p>
      <w:pPr>
        <w:spacing w:after="60"/>
      </w:pPr>
      <w:r>
        <w:rPr>
          <w:b/>
          <w:bCs/>
        </w:rPr>
        <w:t xml:space="preserve">Indicadores conductuales:</w:t>
      </w:r>
    </w:p>
    <w:p>
      <w:pPr>
        <w:pStyle w:val="ListParagraph"/>
        <w:numPr>
          <w:ilvl w:val="0"/>
          <w:numId w:val="1"/>
        </w:numPr>
        <w:spacing w:after="60"/>
      </w:pPr>
      <w:r>
        <w:t xml:space="preserve">Disposición a usar la autoridad para intimidar o humillar a subordinados.</w:t>
      </w:r>
    </w:p>
    <w:p>
      <w:pPr>
        <w:pStyle w:val="ListParagraph"/>
        <w:numPr>
          <w:ilvl w:val="0"/>
          <w:numId w:val="1"/>
        </w:numPr>
        <w:spacing w:after="60"/>
      </w:pPr>
      <w:r>
        <w:t xml:space="preserve">Tolerancia hacia el trato degradante como método de gestión.</w:t>
      </w:r>
    </w:p>
    <w:p>
      <w:pPr>
        <w:pStyle w:val="ListParagraph"/>
        <w:numPr>
          <w:ilvl w:val="0"/>
          <w:numId w:val="1"/>
        </w:numPr>
        <w:spacing w:after="60"/>
      </w:pPr>
      <w:r>
        <w:t xml:space="preserve">Justificación del hostigamiento como una forma válida de "exigir resultados".</w:t>
      </w:r>
    </w:p>
    <w:p>
      <w:pPr>
        <w:pStyle w:val="ListParagraph"/>
        <w:numPr>
          <w:ilvl w:val="0"/>
          <w:numId w:val="1"/>
        </w:numPr>
        <w:spacing w:after="60"/>
      </w:pPr>
      <w:r>
        <w:t xml:space="preserve">Minimización del impacto psicológico del maltrato sobre terceros.</w:t>
      </w:r>
    </w:p>
    <w:p>
      <w:pPr>
        <w:spacing w:after="100"/>
      </w:pPr>
    </w:p>
    <w:p>
      <w:pPr>
        <w:pStyle w:val="Heading3"/>
        <w:spacing w:after="100" w:before="200"/>
      </w:pPr>
      <w:r>
        <w:t xml:space="preserve">11. Discriminación</w:t>
      </w:r>
    </w:p>
    <w:p>
      <w:pPr>
        <w:spacing w:after="100"/>
      </w:pPr>
      <w:r>
        <w:rPr>
          <w:b/>
          <w:bCs/>
        </w:rPr>
        <w:t xml:space="preserve">Grupo: </w:t>
      </w:r>
      <w:r>
        <w:t xml:space="preserve">Núcleo — Adicional</w:t>
      </w:r>
    </w:p>
    <w:p>
      <w:pPr>
        <w:spacing w:after="100"/>
      </w:pPr>
      <w:r>
        <w:rPr>
          <w:b/>
          <w:bCs/>
        </w:rPr>
        <w:t xml:space="preserve">Definición conceptual (fuente teórica): </w:t>
      </w:r>
      <w:r>
        <w:t xml:space="preserve">Se apoya en la teoría de la identidad social de Tajfel y Turner (1979), que explica el trato desfavorable hacia otros a partir de la categorización social en grupos (endogrupo/exogrupo).</w:t>
      </w:r>
    </w:p>
    <w:p>
      <w:pPr>
        <w:spacing w:after="100"/>
      </w:pPr>
      <w:r>
        <w:rPr>
          <w:b/>
          <w:bCs/>
        </w:rPr>
        <w:t xml:space="preserve">Definición operacional: </w:t>
      </w:r>
      <w:r>
        <w:t xml:space="preserve">Trato desigual o desfavorable hacia una persona basado en características personales (género, edad, etnia, religión, orientación, entre otras) no relacionadas con su desempeño o idoneidad.</w:t>
      </w:r>
    </w:p>
    <w:p>
      <w:pPr>
        <w:spacing w:after="60"/>
      </w:pPr>
      <w:r>
        <w:rPr>
          <w:b/>
          <w:bCs/>
        </w:rPr>
        <w:t xml:space="preserve">Indicadores conductuales:</w:t>
      </w:r>
    </w:p>
    <w:p>
      <w:pPr>
        <w:pStyle w:val="ListParagraph"/>
        <w:numPr>
          <w:ilvl w:val="0"/>
          <w:numId w:val="1"/>
        </w:numPr>
        <w:spacing w:after="60"/>
      </w:pPr>
      <w:r>
        <w:t xml:space="preserve">Disposición a preferir o excluir a alguien por características no relacionadas con el desempeño.</w:t>
      </w:r>
    </w:p>
    <w:p>
      <w:pPr>
        <w:pStyle w:val="ListParagraph"/>
        <w:numPr>
          <w:ilvl w:val="0"/>
          <w:numId w:val="1"/>
        </w:numPr>
        <w:spacing w:after="60"/>
      </w:pPr>
      <w:r>
        <w:t xml:space="preserve">Justificación de estereotipos como base válida para tomar decisiones.</w:t>
      </w:r>
    </w:p>
    <w:p>
      <w:pPr>
        <w:pStyle w:val="ListParagraph"/>
        <w:numPr>
          <w:ilvl w:val="0"/>
          <w:numId w:val="1"/>
        </w:numPr>
        <w:spacing w:after="60"/>
      </w:pPr>
      <w:r>
        <w:t xml:space="preserve">Minimización de episodios de discriminación observados en el entorno.</w:t>
      </w:r>
    </w:p>
    <w:p>
      <w:pPr>
        <w:pStyle w:val="ListParagraph"/>
        <w:numPr>
          <w:ilvl w:val="0"/>
          <w:numId w:val="1"/>
        </w:numPr>
        <w:spacing w:after="60"/>
      </w:pPr>
      <w:r>
        <w:t xml:space="preserve">Actitud favorable hacia normas o prácticas que excluyen a ciertos grupos.</w:t>
      </w:r>
    </w:p>
    <w:p>
      <w:pPr>
        <w:spacing w:after="100"/>
      </w:pPr>
    </w:p>
    <w:p>
      <w:pPr>
        <w:pStyle w:val="Heading3"/>
        <w:spacing w:after="100" w:before="200"/>
      </w:pPr>
      <w:r>
        <w:t xml:space="preserve">12. Asociación Criminal</w:t>
      </w:r>
    </w:p>
    <w:p>
      <w:pPr>
        <w:spacing w:after="100"/>
      </w:pPr>
      <w:r>
        <w:rPr>
          <w:b/>
          <w:bCs/>
        </w:rPr>
        <w:t xml:space="preserve">Grupo: </w:t>
      </w:r>
      <w:r>
        <w:t xml:space="preserve">Núcleo — Adicional</w:t>
      </w:r>
    </w:p>
    <w:p>
      <w:pPr>
        <w:spacing w:after="100"/>
      </w:pPr>
      <w:r>
        <w:rPr>
          <w:b/>
          <w:bCs/>
        </w:rPr>
        <w:t xml:space="preserve">Definición conceptual (fuente teórica): </w:t>
      </w:r>
      <w:r>
        <w:t xml:space="preserve">Se fundamenta en la teoría de la asociación diferencial de Sutherland (1947), que explica la conducta delictiva como resultado del aprendizaje social por cercanía a grupos o entornos delictivos.</w:t>
      </w:r>
    </w:p>
    <w:p>
      <w:pPr>
        <w:spacing w:after="100"/>
      </w:pPr>
      <w:r>
        <w:rPr>
          <w:b/>
          <w:bCs/>
        </w:rPr>
        <w:t xml:space="preserve">Definición operacional: </w:t>
      </w:r>
      <w:r>
        <w:t xml:space="preserve">Tolerancia, cercanía actitudinal o disposición a vincularse con personas, grupos o actividades de naturaleza delictiva.</w:t>
      </w:r>
    </w:p>
    <w:p>
      <w:pPr>
        <w:spacing w:after="60"/>
      </w:pPr>
      <w:r>
        <w:rPr>
          <w:b/>
          <w:bCs/>
        </w:rPr>
        <w:t xml:space="preserve">Indicadores conductuales:</w:t>
      </w:r>
    </w:p>
    <w:p>
      <w:pPr>
        <w:pStyle w:val="ListParagraph"/>
        <w:numPr>
          <w:ilvl w:val="0"/>
          <w:numId w:val="1"/>
        </w:numPr>
        <w:spacing w:after="60"/>
      </w:pPr>
      <w:r>
        <w:t xml:space="preserve">Actitud tolerante hacia convivir o relacionarse con personas de actividad delictiva conocida.</w:t>
      </w:r>
    </w:p>
    <w:p>
      <w:pPr>
        <w:pStyle w:val="ListParagraph"/>
        <w:numPr>
          <w:ilvl w:val="0"/>
          <w:numId w:val="1"/>
        </w:numPr>
        <w:spacing w:after="60"/>
      </w:pPr>
      <w:r>
        <w:t xml:space="preserve">Disposición a participar, incluso marginalmente, en actividades vinculadas al delito organizado.</w:t>
      </w:r>
    </w:p>
    <w:p>
      <w:pPr>
        <w:pStyle w:val="ListParagraph"/>
        <w:numPr>
          <w:ilvl w:val="0"/>
          <w:numId w:val="1"/>
        </w:numPr>
        <w:spacing w:after="60"/>
      </w:pPr>
      <w:r>
        <w:t xml:space="preserve">Minimización del riesgo o daño de asociarse con estructuras delictivas.</w:t>
      </w:r>
    </w:p>
    <w:p>
      <w:pPr>
        <w:pStyle w:val="ListParagraph"/>
        <w:numPr>
          <w:ilvl w:val="0"/>
          <w:numId w:val="1"/>
        </w:numPr>
        <w:spacing w:after="60"/>
      </w:pPr>
      <w:r>
        <w:t xml:space="preserve">Percepción de beneficio o protección al mantener este tipo de vínculos.</w:t>
      </w:r>
    </w:p>
    <w:p>
      <w:pPr>
        <w:spacing w:after="100"/>
      </w:pPr>
    </w:p>
    <w:p>
      <w:pPr>
        <w:pStyle w:val="Heading1"/>
        <w:spacing w:after="200" w:before="400"/>
      </w:pPr>
      <w:r>
        <w:t xml:space="preserve">Grupo 3 — Factores Contextuales (9 dimensiones)</w:t>
      </w:r>
    </w:p>
    <w:p>
      <w:pPr>
        <w:spacing w:after="150"/>
      </w:pPr>
      <w:r>
        <w:t xml:space="preserve">Informativos. NUNCA entran al cálculo del Índice General de Integridad (IGI); se reportan siempre por separado.</w:t>
      </w:r>
    </w:p>
    <w:p>
      <w:pPr>
        <w:pStyle w:val="Heading3"/>
        <w:spacing w:after="100" w:before="200"/>
      </w:pPr>
      <w:r>
        <w:t xml:space="preserve">13. Sustancias Lícitas</w:t>
      </w:r>
    </w:p>
    <w:p>
      <w:pPr>
        <w:spacing w:after="100"/>
      </w:pPr>
      <w:r>
        <w:rPr>
          <w:b/>
          <w:bCs/>
        </w:rPr>
        <w:t xml:space="preserve">Grupo: </w:t>
      </w:r>
      <w:r>
        <w:t xml:space="preserve">Factor Contextual</w:t>
      </w:r>
    </w:p>
    <w:p>
      <w:pPr>
        <w:spacing w:after="100"/>
      </w:pPr>
      <w:r>
        <w:rPr>
          <w:b/>
          <w:bCs/>
        </w:rPr>
        <w:t xml:space="preserve">Definición conceptual (fuente teórica): </w:t>
      </w:r>
      <w:r>
        <w:t xml:space="preserve">Se apoya en el modelo de continuum de riesgo de la OMS (uso-abuso-dependencia) aplicado a sustancias de venta y consumo legal.</w:t>
      </w:r>
    </w:p>
    <w:p>
      <w:pPr>
        <w:spacing w:after="100"/>
      </w:pPr>
      <w:r>
        <w:rPr>
          <w:b/>
          <w:bCs/>
        </w:rPr>
        <w:t xml:space="preserve">Definición operacional: </w:t>
      </w:r>
      <w:r>
        <w:t xml:space="preserve">Patrón de consumo, justificación o dependencia funcional de alcohol, tabaco u otras sustancias legales que puede afectar el desempeño o el juicio.</w:t>
      </w:r>
    </w:p>
    <w:p>
      <w:pPr>
        <w:spacing w:after="60"/>
      </w:pPr>
      <w:r>
        <w:rPr>
          <w:b/>
          <w:bCs/>
        </w:rPr>
        <w:t xml:space="preserve">Indicadores conductuales:</w:t>
      </w:r>
    </w:p>
    <w:p>
      <w:pPr>
        <w:pStyle w:val="ListParagraph"/>
        <w:numPr>
          <w:ilvl w:val="0"/>
          <w:numId w:val="1"/>
        </w:numPr>
        <w:spacing w:after="60"/>
      </w:pPr>
      <w:r>
        <w:t xml:space="preserve">Frecuencia y cantidad declarada de consumo de alcohol o tabaco.</w:t>
      </w:r>
    </w:p>
    <w:p>
      <w:pPr>
        <w:pStyle w:val="ListParagraph"/>
        <w:numPr>
          <w:ilvl w:val="0"/>
          <w:numId w:val="1"/>
        </w:numPr>
        <w:spacing w:after="60"/>
      </w:pPr>
      <w:r>
        <w:t xml:space="preserve">Consumo en contextos o momentos donde afecta el desempeño posterior.</w:t>
      </w:r>
    </w:p>
    <w:p>
      <w:pPr>
        <w:pStyle w:val="ListParagraph"/>
        <w:numPr>
          <w:ilvl w:val="0"/>
          <w:numId w:val="1"/>
        </w:numPr>
        <w:spacing w:after="60"/>
      </w:pPr>
      <w:r>
        <w:t xml:space="preserve">Justificación del consumo como forma habitual de manejo del estrés.</w:t>
      </w:r>
    </w:p>
    <w:p>
      <w:pPr>
        <w:pStyle w:val="ListParagraph"/>
        <w:numPr>
          <w:ilvl w:val="0"/>
          <w:numId w:val="1"/>
        </w:numPr>
        <w:spacing w:after="60"/>
      </w:pPr>
      <w:r>
        <w:t xml:space="preserve">Percepción de bajo riesgo asociado al propio patrón de consumo.</w:t>
      </w:r>
    </w:p>
    <w:p>
      <w:pPr>
        <w:spacing w:after="100"/>
      </w:pPr>
    </w:p>
    <w:p>
      <w:pPr>
        <w:pStyle w:val="Heading3"/>
        <w:spacing w:after="100" w:before="200"/>
      </w:pPr>
      <w:r>
        <w:t xml:space="preserve">14. Sustancias Ilícitas</w:t>
      </w:r>
    </w:p>
    <w:p>
      <w:pPr>
        <w:spacing w:after="100"/>
      </w:pPr>
      <w:r>
        <w:rPr>
          <w:b/>
          <w:bCs/>
        </w:rPr>
        <w:t xml:space="preserve">Grupo: </w:t>
      </w:r>
      <w:r>
        <w:t xml:space="preserve">Factor Contextual</w:t>
      </w:r>
    </w:p>
    <w:p>
      <w:pPr>
        <w:spacing w:after="100"/>
      </w:pPr>
      <w:r>
        <w:rPr>
          <w:b/>
          <w:bCs/>
        </w:rPr>
        <w:t xml:space="preserve">Definición conceptual (fuente teórica): </w:t>
      </w:r>
      <w:r>
        <w:t xml:space="preserve">Se basa en el mismo continuum de riesgo de consumo de la OMS, aplicado en este caso a sustancias cuya posesión o consumo no está permitido por la legislación vigente.</w:t>
      </w:r>
    </w:p>
    <w:p>
      <w:pPr>
        <w:spacing w:after="100"/>
      </w:pPr>
      <w:r>
        <w:rPr>
          <w:b/>
          <w:bCs/>
        </w:rPr>
        <w:t xml:space="preserve">Definición operacional: </w:t>
      </w:r>
      <w:r>
        <w:t xml:space="preserve">Patrón de consumo, tolerancia o justificación del uso de drogas cuya posesión o consumo no está permitido por la ley.</w:t>
      </w:r>
    </w:p>
    <w:p>
      <w:pPr>
        <w:spacing w:after="60"/>
      </w:pPr>
      <w:r>
        <w:rPr>
          <w:b/>
          <w:bCs/>
        </w:rPr>
        <w:t xml:space="preserve">Indicadores conductuales:</w:t>
      </w:r>
    </w:p>
    <w:p>
      <w:pPr>
        <w:pStyle w:val="ListParagraph"/>
        <w:numPr>
          <w:ilvl w:val="0"/>
          <w:numId w:val="1"/>
        </w:numPr>
        <w:spacing w:after="60"/>
      </w:pPr>
      <w:r>
        <w:t xml:space="preserve">Consumo declarado o tolerancia hacia el consumo de sustancias ilícitas.</w:t>
      </w:r>
    </w:p>
    <w:p>
      <w:pPr>
        <w:pStyle w:val="ListParagraph"/>
        <w:numPr>
          <w:ilvl w:val="0"/>
          <w:numId w:val="1"/>
        </w:numPr>
        <w:spacing w:after="60"/>
      </w:pPr>
      <w:r>
        <w:t xml:space="preserve">Justificación del consumo como "recreativo" o "sin consecuencias".</w:t>
      </w:r>
    </w:p>
    <w:p>
      <w:pPr>
        <w:pStyle w:val="ListParagraph"/>
        <w:numPr>
          <w:ilvl w:val="0"/>
          <w:numId w:val="1"/>
        </w:numPr>
        <w:spacing w:after="60"/>
      </w:pPr>
      <w:r>
        <w:t xml:space="preserve">Disposición a consumir en contextos de riesgo, antes o durante actividades laborales.</w:t>
      </w:r>
    </w:p>
    <w:p>
      <w:pPr>
        <w:pStyle w:val="ListParagraph"/>
        <w:numPr>
          <w:ilvl w:val="0"/>
          <w:numId w:val="1"/>
        </w:numPr>
        <w:spacing w:after="60"/>
      </w:pPr>
      <w:r>
        <w:t xml:space="preserve">Minimización de las consecuencias legales o laborales del consumo.</w:t>
      </w:r>
    </w:p>
    <w:p>
      <w:pPr>
        <w:spacing w:after="100"/>
      </w:pPr>
    </w:p>
    <w:p>
      <w:pPr>
        <w:pStyle w:val="Heading3"/>
        <w:spacing w:after="100" w:before="200"/>
      </w:pPr>
      <w:r>
        <w:t xml:space="preserve">15. Incumplimiento de Normas</w:t>
      </w:r>
    </w:p>
    <w:p>
      <w:pPr>
        <w:spacing w:after="100"/>
      </w:pPr>
      <w:r>
        <w:rPr>
          <w:b/>
          <w:bCs/>
        </w:rPr>
        <w:t xml:space="preserve">Grupo: </w:t>
      </w:r>
      <w:r>
        <w:t xml:space="preserve">Factor Contextual</w:t>
      </w:r>
    </w:p>
    <w:p>
      <w:pPr>
        <w:spacing w:after="100"/>
      </w:pPr>
      <w:r>
        <w:rPr>
          <w:b/>
          <w:bCs/>
        </w:rPr>
        <w:t xml:space="preserve">Definición conceptual (fuente teórica): </w:t>
      </w:r>
      <w:r>
        <w:t xml:space="preserve">Se apoya en la teoría de la anomia de Merton (1938), que describe el desapego normativo como resultado de la tensión entre metas personales y medios legítimos disponibles.</w:t>
      </w:r>
    </w:p>
    <w:p>
      <w:pPr>
        <w:spacing w:after="100"/>
      </w:pPr>
      <w:r>
        <w:rPr>
          <w:b/>
          <w:bCs/>
        </w:rPr>
        <w:t xml:space="preserve">Definición operacional: </w:t>
      </w:r>
      <w:r>
        <w:t xml:space="preserve">Predisposición a ignorar, evadir o justificar la transgresión de leyes, reglamentos o normas de convivencia social u organizacional.</w:t>
      </w:r>
    </w:p>
    <w:p>
      <w:pPr>
        <w:spacing w:after="60"/>
      </w:pPr>
      <w:r>
        <w:rPr>
          <w:b/>
          <w:bCs/>
        </w:rPr>
        <w:t xml:space="preserve">Indicadores conductuales:</w:t>
      </w:r>
    </w:p>
    <w:p>
      <w:pPr>
        <w:pStyle w:val="ListParagraph"/>
        <w:numPr>
          <w:ilvl w:val="0"/>
          <w:numId w:val="1"/>
        </w:numPr>
        <w:spacing w:after="60"/>
      </w:pPr>
      <w:r>
        <w:t xml:space="preserve">Actitud favorable hacia "saltarse" reglas cuando resulta conveniente.</w:t>
      </w:r>
    </w:p>
    <w:p>
      <w:pPr>
        <w:pStyle w:val="ListParagraph"/>
        <w:numPr>
          <w:ilvl w:val="0"/>
          <w:numId w:val="1"/>
        </w:numPr>
        <w:spacing w:after="60"/>
      </w:pPr>
      <w:r>
        <w:t xml:space="preserve">Justificación del incumplimiento normativo cuando la norma "no tiene sentido" para la persona.</w:t>
      </w:r>
    </w:p>
    <w:p>
      <w:pPr>
        <w:pStyle w:val="ListParagraph"/>
        <w:numPr>
          <w:ilvl w:val="0"/>
          <w:numId w:val="1"/>
        </w:numPr>
        <w:spacing w:after="60"/>
      </w:pPr>
      <w:r>
        <w:t xml:space="preserve">Frecuencia declarada de infracciones menores (tránsito, reglamentos internos, normas de convivencia).</w:t>
      </w:r>
    </w:p>
    <w:p>
      <w:pPr>
        <w:pStyle w:val="ListParagraph"/>
        <w:numPr>
          <w:ilvl w:val="0"/>
          <w:numId w:val="1"/>
        </w:numPr>
        <w:spacing w:after="60"/>
      </w:pPr>
      <w:r>
        <w:t xml:space="preserve">Percepción de baja probabilidad de sanción por incumplir normas.</w:t>
      </w:r>
    </w:p>
    <w:p>
      <w:pPr>
        <w:spacing w:after="100"/>
      </w:pPr>
    </w:p>
    <w:p>
      <w:pPr>
        <w:pStyle w:val="Heading3"/>
        <w:spacing w:after="100" w:before="200"/>
      </w:pPr>
      <w:r>
        <w:t xml:space="preserve">16. Deudas</w:t>
      </w:r>
    </w:p>
    <w:p>
      <w:pPr>
        <w:spacing w:after="100"/>
      </w:pPr>
      <w:r>
        <w:rPr>
          <w:b/>
          <w:bCs/>
        </w:rPr>
        <w:t xml:space="preserve">Grupo: </w:t>
      </w:r>
      <w:r>
        <w:t xml:space="preserve">Factor Contextual</w:t>
      </w:r>
    </w:p>
    <w:p>
      <w:pPr>
        <w:spacing w:after="100"/>
      </w:pPr>
      <w:r>
        <w:rPr>
          <w:b/>
          <w:bCs/>
        </w:rPr>
        <w:t xml:space="preserve">Definición conceptual (fuente teórica): </w:t>
      </w:r>
      <w:r>
        <w:t xml:space="preserve">Se apoya en la literatura sobre bienestar financiero y comportamiento de endeudamiento de riesgo, que vincula el sobreendeudamiento habitual con patrones de decisión financiera de corto plazo.</w:t>
      </w:r>
    </w:p>
    <w:p>
      <w:pPr>
        <w:spacing w:after="100"/>
      </w:pPr>
      <w:r>
        <w:rPr>
          <w:b/>
          <w:bCs/>
        </w:rPr>
        <w:t xml:space="preserve">Definición operacional: </w:t>
      </w:r>
      <w:r>
        <w:t xml:space="preserve">Relación de la persona con el endeudamiento como estrategia habitual para obtener bienes o cubrir necesidades, más allá de su capacidad de pago razonable.</w:t>
      </w:r>
    </w:p>
    <w:p>
      <w:pPr>
        <w:spacing w:after="60"/>
      </w:pPr>
      <w:r>
        <w:rPr>
          <w:b/>
          <w:bCs/>
        </w:rPr>
        <w:t xml:space="preserve">Indicadores conductuales:</w:t>
      </w:r>
    </w:p>
    <w:p>
      <w:pPr>
        <w:pStyle w:val="ListParagraph"/>
        <w:numPr>
          <w:ilvl w:val="0"/>
          <w:numId w:val="1"/>
        </w:numPr>
        <w:spacing w:after="60"/>
      </w:pPr>
      <w:r>
        <w:t xml:space="preserve">Uso frecuente de deuda para adquirir bienes no esenciales.</w:t>
      </w:r>
    </w:p>
    <w:p>
      <w:pPr>
        <w:pStyle w:val="ListParagraph"/>
        <w:numPr>
          <w:ilvl w:val="0"/>
          <w:numId w:val="1"/>
        </w:numPr>
        <w:spacing w:after="60"/>
      </w:pPr>
      <w:r>
        <w:t xml:space="preserve">Presencia declarada de múltiples compromisos de deuda simultáneos.</w:t>
      </w:r>
    </w:p>
    <w:p>
      <w:pPr>
        <w:pStyle w:val="ListParagraph"/>
        <w:numPr>
          <w:ilvl w:val="0"/>
          <w:numId w:val="1"/>
        </w:numPr>
        <w:spacing w:after="60"/>
      </w:pPr>
      <w:r>
        <w:t xml:space="preserve">Dificultad declarada para cumplir con obligaciones de pago asumidas.</w:t>
      </w:r>
    </w:p>
    <w:p>
      <w:pPr>
        <w:pStyle w:val="ListParagraph"/>
        <w:numPr>
          <w:ilvl w:val="0"/>
          <w:numId w:val="1"/>
        </w:numPr>
        <w:spacing w:after="60"/>
      </w:pPr>
      <w:r>
        <w:t xml:space="preserve">Percepción de la deuda como solución habitual ante necesidades económicas.</w:t>
      </w:r>
    </w:p>
    <w:p>
      <w:pPr>
        <w:spacing w:after="100"/>
      </w:pPr>
    </w:p>
    <w:p>
      <w:pPr>
        <w:pStyle w:val="Heading3"/>
        <w:spacing w:after="100" w:before="200"/>
      </w:pPr>
      <w:r>
        <w:t xml:space="preserve">17. Impulsividad</w:t>
      </w:r>
    </w:p>
    <w:p>
      <w:pPr>
        <w:spacing w:after="100"/>
      </w:pPr>
      <w:r>
        <w:rPr>
          <w:b/>
          <w:bCs/>
        </w:rPr>
        <w:t xml:space="preserve">Grupo: </w:t>
      </w:r>
      <w:r>
        <w:t xml:space="preserve">Factor Contextual</w:t>
      </w:r>
    </w:p>
    <w:p>
      <w:pPr>
        <w:spacing w:after="100"/>
      </w:pPr>
      <w:r>
        <w:rPr>
          <w:b/>
          <w:bCs/>
        </w:rPr>
        <w:t xml:space="preserve">Definición conceptual (fuente teórica): </w:t>
      </w:r>
      <w:r>
        <w:t xml:space="preserve">Se basa en el modelo multidimensional de impulsividad de Barratt (Patton, Stanford y Barratt, 1995) y en la teoría de la elección intertemporal, que explica la preferencia por una recompensa inmediata pese al riesgo asociado.</w:t>
      </w:r>
    </w:p>
    <w:p>
      <w:pPr>
        <w:spacing w:after="100"/>
      </w:pPr>
      <w:r>
        <w:rPr>
          <w:b/>
          <w:bCs/>
        </w:rPr>
        <w:t xml:space="preserve">Definición operacional: </w:t>
      </w:r>
      <w:r>
        <w:t xml:space="preserve">Tendencia a actuar sin la deliberación adecuada, asumiendo riesgos con el fin de obtener un beneficio o gratificación inmediata.</w:t>
      </w:r>
    </w:p>
    <w:p>
      <w:pPr>
        <w:spacing w:after="60"/>
      </w:pPr>
      <w:r>
        <w:rPr>
          <w:b/>
          <w:bCs/>
        </w:rPr>
        <w:t xml:space="preserve">Indicadores conductuales:</w:t>
      </w:r>
    </w:p>
    <w:p>
      <w:pPr>
        <w:pStyle w:val="ListParagraph"/>
        <w:numPr>
          <w:ilvl w:val="0"/>
          <w:numId w:val="1"/>
        </w:numPr>
        <w:spacing w:after="60"/>
      </w:pPr>
      <w:r>
        <w:t xml:space="preserve">Toma de decisiones sin considerar adecuadamente las consecuencias a mediano o largo plazo.</w:t>
      </w:r>
    </w:p>
    <w:p>
      <w:pPr>
        <w:pStyle w:val="ListParagraph"/>
        <w:numPr>
          <w:ilvl w:val="0"/>
          <w:numId w:val="1"/>
        </w:numPr>
        <w:spacing w:after="60"/>
      </w:pPr>
      <w:r>
        <w:t xml:space="preserve">Dificultad declarada para postergar una gratificación.</w:t>
      </w:r>
    </w:p>
    <w:p>
      <w:pPr>
        <w:pStyle w:val="ListParagraph"/>
        <w:numPr>
          <w:ilvl w:val="0"/>
          <w:numId w:val="1"/>
        </w:numPr>
        <w:spacing w:after="60"/>
      </w:pPr>
      <w:r>
        <w:t xml:space="preserve">Frecuencia de arrepentimiento posterior a decisiones tomadas apresuradamente.</w:t>
      </w:r>
    </w:p>
    <w:p>
      <w:pPr>
        <w:pStyle w:val="ListParagraph"/>
        <w:numPr>
          <w:ilvl w:val="0"/>
          <w:numId w:val="1"/>
        </w:numPr>
        <w:spacing w:after="60"/>
      </w:pPr>
      <w:r>
        <w:t xml:space="preserve">Preferencia declarada por el beneficio inmediato aun conociendo el riesgo.</w:t>
      </w:r>
    </w:p>
    <w:p>
      <w:pPr>
        <w:spacing w:after="100"/>
      </w:pPr>
    </w:p>
    <w:p>
      <w:pPr>
        <w:pStyle w:val="Heading3"/>
        <w:spacing w:after="100" w:before="200"/>
      </w:pPr>
      <w:r>
        <w:t xml:space="preserve">18. Violencia</w:t>
      </w:r>
    </w:p>
    <w:p>
      <w:pPr>
        <w:spacing w:after="100"/>
      </w:pPr>
      <w:r>
        <w:rPr>
          <w:b/>
          <w:bCs/>
        </w:rPr>
        <w:t xml:space="preserve">Grupo: </w:t>
      </w:r>
      <w:r>
        <w:t xml:space="preserve">Factor Contextual</w:t>
      </w:r>
    </w:p>
    <w:p>
      <w:pPr>
        <w:spacing w:after="100"/>
      </w:pPr>
      <w:r>
        <w:rPr>
          <w:b/>
          <w:bCs/>
        </w:rPr>
        <w:t xml:space="preserve">Definición conceptual (fuente teórica): </w:t>
      </w:r>
      <w:r>
        <w:t xml:space="preserve">Se apoya en el Modelo General de la Agresión (Anderson y Bushman, 2002), que integra factores individuales y situacionales en la explicación de la conducta agresiva.</w:t>
      </w:r>
    </w:p>
    <w:p>
      <w:pPr>
        <w:spacing w:after="100"/>
      </w:pPr>
      <w:r>
        <w:rPr>
          <w:b/>
          <w:bCs/>
        </w:rPr>
        <w:t xml:space="preserve">Definición operacional: </w:t>
      </w:r>
      <w:r>
        <w:t xml:space="preserve">Tendencia a recurrir al uso de fuerza física, verbal o relacional como forma de resolver conflictos o imponer una posición.</w:t>
      </w:r>
    </w:p>
    <w:p>
      <w:pPr>
        <w:spacing w:after="60"/>
      </w:pPr>
      <w:r>
        <w:rPr>
          <w:b/>
          <w:bCs/>
        </w:rPr>
        <w:t xml:space="preserve">Indicadores conductuales:</w:t>
      </w:r>
    </w:p>
    <w:p>
      <w:pPr>
        <w:pStyle w:val="ListParagraph"/>
        <w:numPr>
          <w:ilvl w:val="0"/>
          <w:numId w:val="1"/>
        </w:numPr>
        <w:spacing w:after="60"/>
      </w:pPr>
      <w:r>
        <w:t xml:space="preserve">Disposición a responder con agresión verbal ante el conflicto.</w:t>
      </w:r>
    </w:p>
    <w:p>
      <w:pPr>
        <w:pStyle w:val="ListParagraph"/>
        <w:numPr>
          <w:ilvl w:val="0"/>
          <w:numId w:val="1"/>
        </w:numPr>
        <w:spacing w:after="60"/>
      </w:pPr>
      <w:r>
        <w:t xml:space="preserve">Disposición declarada hacia la agresión física como forma de resolver desacuerdos.</w:t>
      </w:r>
    </w:p>
    <w:p>
      <w:pPr>
        <w:pStyle w:val="ListParagraph"/>
        <w:numPr>
          <w:ilvl w:val="0"/>
          <w:numId w:val="1"/>
        </w:numPr>
        <w:spacing w:after="60"/>
      </w:pPr>
      <w:r>
        <w:t xml:space="preserve">Uso de la intimidación relacional (aislar, amenazar socialmente) como forma de control.</w:t>
      </w:r>
    </w:p>
    <w:p>
      <w:pPr>
        <w:pStyle w:val="ListParagraph"/>
        <w:numPr>
          <w:ilvl w:val="0"/>
          <w:numId w:val="1"/>
        </w:numPr>
        <w:spacing w:after="60"/>
      </w:pPr>
      <w:r>
        <w:t xml:space="preserve">Justificación de la violencia como respuesta válida ante una provocación.</w:t>
      </w:r>
    </w:p>
    <w:p>
      <w:pPr>
        <w:spacing w:after="100"/>
      </w:pPr>
    </w:p>
    <w:p>
      <w:pPr>
        <w:pStyle w:val="Heading3"/>
        <w:spacing w:after="100" w:before="200"/>
      </w:pPr>
      <w:r>
        <w:t xml:space="preserve">19. Ludopatía</w:t>
      </w:r>
    </w:p>
    <w:p>
      <w:pPr>
        <w:spacing w:after="100"/>
      </w:pPr>
      <w:r>
        <w:rPr>
          <w:b/>
          <w:bCs/>
        </w:rPr>
        <w:t xml:space="preserve">Grupo: </w:t>
      </w:r>
      <w:r>
        <w:t xml:space="preserve">Factor Contextual</w:t>
      </w:r>
    </w:p>
    <w:p>
      <w:pPr>
        <w:spacing w:after="100"/>
      </w:pPr>
      <w:r>
        <w:rPr>
          <w:b/>
          <w:bCs/>
        </w:rPr>
        <w:t xml:space="preserve">Definición conceptual (fuente teórica): </w:t>
      </w:r>
      <w:r>
        <w:t xml:space="preserve">Se basa en el modelo de adicciones conductuales del trastorno de juego (DSM-5), que describe la pérdida de control sobre una conducta —no asociada a sustancias— pese a sus consecuencias negativas.</w:t>
      </w:r>
    </w:p>
    <w:p>
      <w:pPr>
        <w:spacing w:after="100"/>
      </w:pPr>
      <w:r>
        <w:rPr>
          <w:b/>
          <w:bCs/>
        </w:rPr>
        <w:t xml:space="preserve">Definición operacional: </w:t>
      </w:r>
      <w:r>
        <w:t xml:space="preserve">Pérdida de control sobre la conducta de juego que involucra apuestas de dinero, en cualquiera de sus modalidades (lotería, apuestas deportivas, cartas, tragamonedas, apuestas en línea, entre otras), con persistencia a pesar de consecuencias negativas.</w:t>
      </w:r>
    </w:p>
    <w:p>
      <w:pPr>
        <w:spacing w:after="60"/>
      </w:pPr>
      <w:r>
        <w:rPr>
          <w:b/>
          <w:bCs/>
        </w:rPr>
        <w:t xml:space="preserve">Indicadores conductuales:</w:t>
      </w:r>
    </w:p>
    <w:p>
      <w:pPr>
        <w:pStyle w:val="ListParagraph"/>
        <w:numPr>
          <w:ilvl w:val="0"/>
          <w:numId w:val="1"/>
        </w:numPr>
        <w:spacing w:after="60"/>
      </w:pPr>
      <w:r>
        <w:t xml:space="preserve">Frecuencia e intensidad declarada de apuestas de dinero en cualquier modalidad (no limitado a casinos).</w:t>
      </w:r>
    </w:p>
    <w:p>
      <w:pPr>
        <w:pStyle w:val="ListParagraph"/>
        <w:numPr>
          <w:ilvl w:val="0"/>
          <w:numId w:val="1"/>
        </w:numPr>
        <w:spacing w:after="60"/>
      </w:pPr>
      <w:r>
        <w:t xml:space="preserve">Persistencia en el juego a pesar de pérdidas económicas relevantes.</w:t>
      </w:r>
    </w:p>
    <w:p>
      <w:pPr>
        <w:pStyle w:val="ListParagraph"/>
        <w:numPr>
          <w:ilvl w:val="0"/>
          <w:numId w:val="1"/>
        </w:numPr>
        <w:spacing w:after="60"/>
      </w:pPr>
      <w:r>
        <w:t xml:space="preserve">Uso de recursos destinados a otras necesidades para financiar la conducta de juego.</w:t>
      </w:r>
    </w:p>
    <w:p>
      <w:pPr>
        <w:pStyle w:val="ListParagraph"/>
        <w:numPr>
          <w:ilvl w:val="0"/>
          <w:numId w:val="1"/>
        </w:numPr>
        <w:spacing w:after="60"/>
      </w:pPr>
      <w:r>
        <w:t xml:space="preserve">Dificultad declarada para detener o controlar la conducta de apuesta.</w:t>
      </w:r>
    </w:p>
    <w:p>
      <w:pPr>
        <w:spacing w:after="100"/>
      </w:pPr>
    </w:p>
    <w:p>
      <w:pPr>
        <w:pStyle w:val="Heading3"/>
        <w:spacing w:after="100" w:before="200"/>
      </w:pPr>
      <w:r>
        <w:t xml:space="preserve">20. Egoísmo</w:t>
      </w:r>
    </w:p>
    <w:p>
      <w:pPr>
        <w:spacing w:after="100"/>
      </w:pPr>
      <w:r>
        <w:rPr>
          <w:b/>
          <w:bCs/>
        </w:rPr>
        <w:t xml:space="preserve">Grupo: </w:t>
      </w:r>
      <w:r>
        <w:t xml:space="preserve">Factor Contextual</w:t>
      </w:r>
    </w:p>
    <w:p>
      <w:pPr>
        <w:spacing w:after="100"/>
      </w:pPr>
      <w:r>
        <w:rPr>
          <w:b/>
          <w:bCs/>
        </w:rPr>
        <w:t xml:space="preserve">Definición conceptual (fuente teórica): </w:t>
      </w:r>
      <w:r>
        <w:t xml:space="preserve">Se apoya en el continuum egoísmo-altruismo derivado de la hipótesis de la empatía-altruismo de Batson (1991), tomado aquí en su polo de ausencia de motivación prosocial.</w:t>
      </w:r>
    </w:p>
    <w:p>
      <w:pPr>
        <w:spacing w:after="100"/>
      </w:pPr>
      <w:r>
        <w:rPr>
          <w:b/>
          <w:bCs/>
        </w:rPr>
        <w:t xml:space="preserve">Definición operacional: </w:t>
      </w:r>
      <w:r>
        <w:t xml:space="preserve">Falta de interés genuino por el bienestar de otras personas o del colectivo, priorizando sistemáticamente el beneficio propio incluso cuando implica un costo desproporcionado para terceros.</w:t>
      </w:r>
    </w:p>
    <w:p>
      <w:pPr>
        <w:spacing w:after="60"/>
      </w:pPr>
      <w:r>
        <w:rPr>
          <w:b/>
          <w:bCs/>
        </w:rPr>
        <w:t xml:space="preserve">Indicadores conductuales:</w:t>
      </w:r>
    </w:p>
    <w:p>
      <w:pPr>
        <w:pStyle w:val="ListParagraph"/>
        <w:numPr>
          <w:ilvl w:val="0"/>
          <w:numId w:val="1"/>
        </w:numPr>
        <w:spacing w:after="60"/>
      </w:pPr>
      <w:r>
        <w:t xml:space="preserve">Priorización sistemática del interés propio sobre el bienestar colectivo.</w:t>
      </w:r>
    </w:p>
    <w:p>
      <w:pPr>
        <w:pStyle w:val="ListParagraph"/>
        <w:numPr>
          <w:ilvl w:val="0"/>
          <w:numId w:val="1"/>
        </w:numPr>
        <w:spacing w:after="60"/>
      </w:pPr>
      <w:r>
        <w:t xml:space="preserve">Baja disposición declarada a la cooperación cuando no existe un beneficio directo.</w:t>
      </w:r>
    </w:p>
    <w:p>
      <w:pPr>
        <w:pStyle w:val="ListParagraph"/>
        <w:numPr>
          <w:ilvl w:val="0"/>
          <w:numId w:val="1"/>
        </w:numPr>
        <w:spacing w:after="60"/>
      </w:pPr>
      <w:r>
        <w:t xml:space="preserve">Indiferencia declarada ante el impacto negativo de las propias decisiones sobre otros.</w:t>
      </w:r>
    </w:p>
    <w:p>
      <w:pPr>
        <w:pStyle w:val="ListParagraph"/>
        <w:numPr>
          <w:ilvl w:val="0"/>
          <w:numId w:val="1"/>
        </w:numPr>
        <w:spacing w:after="60"/>
      </w:pPr>
      <w:r>
        <w:t xml:space="preserve">Justificación de decisiones egoístas como parte de "la naturaleza humana".</w:t>
      </w:r>
    </w:p>
    <w:p>
      <w:pPr>
        <w:spacing w:after="100"/>
      </w:pPr>
    </w:p>
    <w:p>
      <w:pPr>
        <w:pStyle w:val="Heading3"/>
        <w:spacing w:after="100" w:before="200"/>
      </w:pPr>
      <w:r>
        <w:t xml:space="preserve">21. Impunidad</w:t>
      </w:r>
    </w:p>
    <w:p>
      <w:pPr>
        <w:spacing w:after="100"/>
      </w:pPr>
      <w:r>
        <w:rPr>
          <w:b/>
          <w:bCs/>
        </w:rPr>
        <w:t xml:space="preserve">Grupo: </w:t>
      </w:r>
      <w:r>
        <w:t xml:space="preserve">Factor Contextual</w:t>
      </w:r>
    </w:p>
    <w:p>
      <w:pPr>
        <w:spacing w:after="100"/>
      </w:pPr>
      <w:r>
        <w:rPr>
          <w:b/>
          <w:bCs/>
        </w:rPr>
        <w:t xml:space="preserve">Definición conceptual (fuente teórica): </w:t>
      </w:r>
      <w:r>
        <w:t xml:space="preserve">Se apoya en la teoría de la disuasión (deterrence theory) de la criminología, que sitúa la percepción de riesgo de sanción como uno de los principales reguladores de la conducta deshonesta.</w:t>
      </w:r>
    </w:p>
    <w:p>
      <w:pPr>
        <w:spacing w:after="100"/>
      </w:pPr>
      <w:r>
        <w:rPr>
          <w:b/>
          <w:bCs/>
        </w:rPr>
        <w:t xml:space="preserve">Definición operacional: </w:t>
      </w:r>
      <w:r>
        <w:t xml:space="preserve">Creencia de que es poco probable ser descubierto, sancionado o enfrentar consecuencias reales por una conducta deshonesta.</w:t>
      </w:r>
    </w:p>
    <w:p>
      <w:pPr>
        <w:spacing w:after="60"/>
      </w:pPr>
      <w:r>
        <w:rPr>
          <w:b/>
          <w:bCs/>
        </w:rPr>
        <w:t xml:space="preserve">Indicadores conductuales:</w:t>
      </w:r>
    </w:p>
    <w:p>
      <w:pPr>
        <w:pStyle w:val="ListParagraph"/>
        <w:numPr>
          <w:ilvl w:val="0"/>
          <w:numId w:val="1"/>
        </w:numPr>
        <w:spacing w:after="60"/>
      </w:pPr>
      <w:r>
        <w:t xml:space="preserve">Percepción declarada de baja probabilidad de ser descubierto al actuar deshonestamente.</w:t>
      </w:r>
    </w:p>
    <w:p>
      <w:pPr>
        <w:pStyle w:val="ListParagraph"/>
        <w:numPr>
          <w:ilvl w:val="0"/>
          <w:numId w:val="1"/>
        </w:numPr>
        <w:spacing w:after="60"/>
      </w:pPr>
      <w:r>
        <w:t xml:space="preserve">Creencia de que los sistemas de control o sanción son poco eficaces.</w:t>
      </w:r>
    </w:p>
    <w:p>
      <w:pPr>
        <w:pStyle w:val="ListParagraph"/>
        <w:numPr>
          <w:ilvl w:val="0"/>
          <w:numId w:val="1"/>
        </w:numPr>
        <w:spacing w:after="60"/>
      </w:pPr>
      <w:r>
        <w:t xml:space="preserve">Historial percibido de conductas deshonestas propias sin consecuencias.</w:t>
      </w:r>
    </w:p>
    <w:p>
      <w:pPr>
        <w:pStyle w:val="ListParagraph"/>
        <w:numPr>
          <w:ilvl w:val="0"/>
          <w:numId w:val="1"/>
        </w:numPr>
        <w:spacing w:after="60"/>
      </w:pPr>
      <w:r>
        <w:t xml:space="preserve">Disposición a actuar deshonestamente cuando se percibe un bajo riesgo de sanción.</w:t>
      </w:r>
    </w:p>
    <w:p>
      <w:pPr>
        <w:spacing w:after="100"/>
      </w:pPr>
    </w:p>
    <w:p>
      <w:pPr>
        <w:pStyle w:val="Heading1"/>
        <w:spacing w:after="200" w:before="400"/>
      </w:pPr>
      <w:r>
        <w:t xml:space="preserve">Nota de cierre</w:t>
      </w:r>
    </w:p>
    <w:p>
      <w:pPr>
        <w:spacing w:after="150"/>
      </w:pPr>
      <w:r>
        <w:t xml:space="preserve">Los nombres de las 21 dimensiones listados en este documento son definitivos para la Versión 2 y deben usarse de forma exacta en el resto de las fases del proyecto (marco de reactivos, banco de reactivos, matriz de scoring, ejemplo de cálculo, producto y resumen consolidado). La equivalencia con los nombres de la versión original (v1) se documenta por separado en Fase1B_Diccionario_Nombres_v1_a_v2.md.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2026-09-09T21:25:00.192Z</dcterms:created>
  <dcterms:modified xsi:type="dcterms:W3CDTF">2026-09-09T21:25:00.207Z</dcterms:modified>
</cp:coreProperties>
</file>

<file path=docProps/custom.xml><?xml version="1.0" encoding="utf-8"?>
<Properties xmlns="http://schemas.openxmlformats.org/officeDocument/2006/custom-properties" xmlns:vt="http://schemas.openxmlformats.org/officeDocument/2006/docPropsVTypes"/>
</file>