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40"/>
          <w:szCs w:val="40"/>
        </w:rPr>
        <w:t xml:space="preserve">Fase 7 — Ejemplo de Cálculo Paso a Paso</w:t>
      </w:r>
    </w:p>
    <w:p>
      <w:pPr>
        <w:spacing w:after="60"/>
        <w:jc w:val="center"/>
      </w:pPr>
      <w:r>
        <w:rPr>
          <w:i/>
          <w:iCs/>
        </w:rPr>
        <w:t xml:space="preserve">[NOMBRE DEL INSTRUMENTO] — Nuevo instrumento de evaluación de integridad laboral</w:t>
      </w:r>
    </w:p>
    <w:p>
      <w:pPr>
        <w:spacing w:after="60"/>
        <w:jc w:val="center"/>
      </w:pPr>
      <w:r>
        <w:rPr>
          <w:i/>
          <w:iCs/>
        </w:rPr>
        <w:t xml:space="preserve">Versión 2 — 21 dimensiones / 75 reactivos</w:t>
      </w:r>
    </w:p>
    <w:p>
      <w:pPr>
        <w:spacing w:after="300"/>
        <w:jc w:val="center"/>
      </w:pPr>
      <w:r>
        <w:rPr>
          <w:sz w:val="20"/>
          <w:szCs w:val="20"/>
        </w:rPr>
        <w:t xml:space="preserve">Preparado para: George (jsuasnavas@gmail.com) · Fecha: 9 de septiembre de 2026</w:t>
      </w:r>
    </w:p>
    <w:p>
      <w:pPr>
        <w:spacing w:after="150"/>
      </w:pPr>
      <w:r>
        <w:t xml:space="preserve">Este documento aplica la fórmula completa definida en la Fase 6 a un candidato ficticio ('Persona X'), con respuestas de ejemplo en 7 reactivos reales del banco v2 (Fases 3-5), mostrando cada paso del cálculo hasta el índice general, la aplicación de un indicador de validez, y el resultado final en ambas capas de salida del producto (perfil individual viral y reporte empresarial). Todos los datos de 'Persona X' son ficticios y se usan únicamente con fines ilustrativos del modelo de cálculo. Reemplaza íntegramente la Fase 7 de la versión v1, con reactivos y dimensiones ya actualizados a la Versión 2.</w:t>
      </w:r>
    </w:p>
    <w:p>
      <w:pPr>
        <w:spacing w:after="15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w:t>
      </w:r>
    </w:p>
    <w:p>
      <w:pPr>
        <w:spacing w:after="150"/>
      </w:pPr>
      <w:r>
        <w:rPr>
          <w:b/>
          <w:bCs/>
        </w:rPr>
        <w:t xml:space="preserve">[HECHO] </w:t>
      </w:r>
      <w:r>
        <w:t xml:space="preserve">Por simplicidad expositiva, este ejemplo usa 7 de los 75 reactivos del banco, cubriendo los 4 reactivos de la Dimensión 1 (Robo, Núcleo — Base, incluyendo su par espejo completo R001-R002), 2 de los 4 reactivos de la Dimensión 9 (Acoso Sexual, Núcleo — Adicional, su par espejo completo R033-R034), y 1 reactivo de la Dimensión 19 (Ludopatía, Contextual). Para las 10 dimensiones Núcleo restantes que normalmente completarían el IGI, se usa un valor de marcador (placeholder) explícito, dejado así para no simular estadísticas reales.</w:t>
      </w:r>
    </w:p>
    <w:p>
      <w:pPr>
        <w:pStyle w:val="Heading1"/>
        <w:spacing w:after="200" w:before="400"/>
      </w:pPr>
      <w:r>
        <w:t xml:space="preserve">1. Respuestas de 'Persona X' y transformación de cada reactivo</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2800"/>
        <w:gridCol w:w="1200"/>
        <w:gridCol w:w="1700"/>
        <w:gridCol w:w="1700"/>
      </w:tblGrid>
      <w:tr>
        <w:tc>
          <w:tcPr>
            <w:tcW w:type="dxa" w:w="1000"/>
            <w:shd w:fill="D9D9D9" w:val="clear"/>
          </w:tcPr>
          <w:p>
            <w:r>
              <w:rPr>
                <w:b/>
                <w:bCs/>
              </w:rPr>
              <w:t xml:space="preserve">Reactivo</w:t>
            </w:r>
          </w:p>
        </w:tc>
        <w:tc>
          <w:tcPr>
            <w:tcW w:type="dxa" w:w="2600"/>
            <w:shd w:fill="D9D9D9" w:val="clear"/>
          </w:tcPr>
          <w:p>
            <w:r>
              <w:rPr>
                <w:b/>
                <w:bCs/>
              </w:rPr>
              <w:t xml:space="preserve">Dimensión</w:t>
            </w:r>
          </w:p>
        </w:tc>
        <w:tc>
          <w:tcPr>
            <w:tcW w:type="dxa" w:w="2800"/>
            <w:shd w:fill="D9D9D9" w:val="clear"/>
          </w:tcPr>
          <w:p>
            <w:r>
              <w:rPr>
                <w:b/>
                <w:bCs/>
              </w:rPr>
              <w:t xml:space="preserve">Respuesta cruda</w:t>
            </w:r>
          </w:p>
        </w:tc>
        <w:tc>
          <w:tcPr>
            <w:tcW w:type="dxa" w:w="1200"/>
            <w:shd w:fill="D9D9D9" w:val="clear"/>
          </w:tcPr>
          <w:p>
            <w:r>
              <w:rPr>
                <w:b/>
                <w:bCs/>
              </w:rPr>
              <w:t xml:space="preserve">Dirección</w:t>
            </w:r>
          </w:p>
        </w:tc>
        <w:tc>
          <w:tcPr>
            <w:tcW w:type="dxa" w:w="1700"/>
            <w:shd w:fill="D9D9D9" w:val="clear"/>
          </w:tcPr>
          <w:p>
            <w:r>
              <w:rPr>
                <w:b/>
                <w:bCs/>
              </w:rPr>
              <w:t xml:space="preserve">Valor de reactivo</w:t>
            </w:r>
          </w:p>
        </w:tc>
        <w:tc>
          <w:tcPr>
            <w:tcW w:type="dxa" w:w="1700"/>
            <w:shd w:fill="D9D9D9" w:val="clear"/>
          </w:tcPr>
          <w:p>
            <w:r>
              <w:rPr>
                <w:b/>
                <w:bCs/>
              </w:rPr>
              <w:t xml:space="preserve">Valor normalizado (0-1)</w:t>
            </w:r>
          </w:p>
        </w:tc>
      </w:tr>
      <w:tr>
        <w:tc>
          <w:tcPr>
            <w:tcW w:type="dxa" w:w="1000"/>
          </w:tcPr>
          <w:p>
            <w:r>
              <w:rPr>
                <w:b w:val="false"/>
                <w:bCs w:val="false"/>
              </w:rPr>
              <w:t xml:space="preserve">R001</w:t>
            </w:r>
          </w:p>
        </w:tc>
        <w:tc>
          <w:tcPr>
            <w:tcW w:type="dxa" w:w="2600"/>
          </w:tcPr>
          <w:p>
            <w:r>
              <w:rPr>
                <w:b w:val="false"/>
                <w:bCs w:val="false"/>
              </w:rPr>
              <w:t xml:space="preserve">1. Robo</w:t>
            </w:r>
          </w:p>
        </w:tc>
        <w:tc>
          <w:tcPr>
            <w:tcW w:type="dxa" w:w="2800"/>
          </w:tcPr>
          <w:p>
            <w:r>
              <w:rPr>
                <w:b w:val="false"/>
                <w:bCs w:val="false"/>
              </w:rPr>
              <w:t xml:space="preserve">3 = 'De acuerdo'</w:t>
            </w:r>
          </w:p>
        </w:tc>
        <w:tc>
          <w:tcPr>
            <w:tcW w:type="dxa" w:w="1200"/>
          </w:tcPr>
          <w:p>
            <w:r>
              <w:rPr>
                <w:b w:val="false"/>
                <w:bCs w:val="false"/>
              </w:rPr>
              <w:t xml:space="preserve">Directo</w:t>
            </w:r>
          </w:p>
        </w:tc>
        <w:tc>
          <w:tcPr>
            <w:tcW w:type="dxa" w:w="1700"/>
          </w:tcPr>
          <w:p>
            <w:r>
              <w:rPr>
                <w:b w:val="false"/>
                <w:bCs w:val="false"/>
              </w:rPr>
              <w:t xml:space="preserve">3</w:t>
            </w:r>
          </w:p>
        </w:tc>
        <w:tc>
          <w:tcPr>
            <w:tcW w:type="dxa" w:w="1700"/>
          </w:tcPr>
          <w:p>
            <w:r>
              <w:rPr>
                <w:b w:val="false"/>
                <w:bCs w:val="false"/>
              </w:rPr>
              <w:t xml:space="preserve">0.75</w:t>
            </w:r>
          </w:p>
        </w:tc>
      </w:tr>
      <w:tr>
        <w:tc>
          <w:tcPr>
            <w:tcW w:type="dxa" w:w="1000"/>
          </w:tcPr>
          <w:p>
            <w:r>
              <w:rPr>
                <w:b w:val="false"/>
                <w:bCs w:val="false"/>
              </w:rPr>
              <w:t xml:space="preserve">R002</w:t>
            </w:r>
          </w:p>
        </w:tc>
        <w:tc>
          <w:tcPr>
            <w:tcW w:type="dxa" w:w="2600"/>
          </w:tcPr>
          <w:p>
            <w:r>
              <w:rPr>
                <w:b w:val="false"/>
                <w:bCs w:val="false"/>
              </w:rPr>
              <w:t xml:space="preserve">1. Robo</w:t>
            </w:r>
          </w:p>
        </w:tc>
        <w:tc>
          <w:tcPr>
            <w:tcW w:type="dxa" w:w="2800"/>
          </w:tcPr>
          <w:p>
            <w:r>
              <w:rPr>
                <w:b w:val="false"/>
                <w:bCs w:val="false"/>
              </w:rPr>
              <w:t xml:space="preserve">0 = 'Ninguna vez'</w:t>
            </w:r>
          </w:p>
        </w:tc>
        <w:tc>
          <w:tcPr>
            <w:tcW w:type="dxa" w:w="1200"/>
          </w:tcPr>
          <w:p>
            <w:r>
              <w:rPr>
                <w:b w:val="false"/>
                <w:bCs w:val="false"/>
              </w:rPr>
              <w:t xml:space="preserve">Directo</w:t>
            </w:r>
          </w:p>
        </w:tc>
        <w:tc>
          <w:tcPr>
            <w:tcW w:type="dxa" w:w="1700"/>
          </w:tcPr>
          <w:p>
            <w:r>
              <w:rPr>
                <w:b w:val="false"/>
                <w:bCs w:val="false"/>
              </w:rPr>
              <w:t xml:space="preserve">0</w:t>
            </w:r>
          </w:p>
        </w:tc>
        <w:tc>
          <w:tcPr>
            <w:tcW w:type="dxa" w:w="1700"/>
          </w:tcPr>
          <w:p>
            <w:r>
              <w:rPr>
                <w:b w:val="false"/>
                <w:bCs w:val="false"/>
              </w:rPr>
              <w:t xml:space="preserve">0.00</w:t>
            </w:r>
          </w:p>
        </w:tc>
      </w:tr>
      <w:tr>
        <w:tc>
          <w:tcPr>
            <w:tcW w:type="dxa" w:w="1000"/>
          </w:tcPr>
          <w:p>
            <w:r>
              <w:rPr>
                <w:b w:val="false"/>
                <w:bCs w:val="false"/>
              </w:rPr>
              <w:t xml:space="preserve">R003</w:t>
            </w:r>
          </w:p>
        </w:tc>
        <w:tc>
          <w:tcPr>
            <w:tcW w:type="dxa" w:w="2600"/>
          </w:tcPr>
          <w:p>
            <w:r>
              <w:rPr>
                <w:b w:val="false"/>
                <w:bCs w:val="false"/>
              </w:rPr>
              <w:t xml:space="preserve">1. Robo</w:t>
            </w:r>
          </w:p>
        </w:tc>
        <w:tc>
          <w:tcPr>
            <w:tcW w:type="dxa" w:w="2800"/>
          </w:tcPr>
          <w:p>
            <w:r>
              <w:rPr>
                <w:b w:val="false"/>
                <w:bCs w:val="false"/>
              </w:rPr>
              <w:t xml:space="preserve">1 = 'En desacuerdo'</w:t>
            </w:r>
          </w:p>
        </w:tc>
        <w:tc>
          <w:tcPr>
            <w:tcW w:type="dxa" w:w="1200"/>
          </w:tcPr>
          <w:p>
            <w:r>
              <w:rPr>
                <w:b w:val="false"/>
                <w:bCs w:val="false"/>
              </w:rPr>
              <w:t xml:space="preserve">Inverso</w:t>
            </w:r>
          </w:p>
        </w:tc>
        <w:tc>
          <w:tcPr>
            <w:tcW w:type="dxa" w:w="1700"/>
          </w:tcPr>
          <w:p>
            <w:r>
              <w:rPr>
                <w:b w:val="false"/>
                <w:bCs w:val="false"/>
              </w:rPr>
              <w:t xml:space="preserve">4−1 = 3</w:t>
            </w:r>
          </w:p>
        </w:tc>
        <w:tc>
          <w:tcPr>
            <w:tcW w:type="dxa" w:w="1700"/>
          </w:tcPr>
          <w:p>
            <w:r>
              <w:rPr>
                <w:b w:val="false"/>
                <w:bCs w:val="false"/>
              </w:rPr>
              <w:t xml:space="preserve">0.75</w:t>
            </w:r>
          </w:p>
        </w:tc>
      </w:tr>
      <w:tr>
        <w:tc>
          <w:tcPr>
            <w:tcW w:type="dxa" w:w="1000"/>
          </w:tcPr>
          <w:p>
            <w:r>
              <w:rPr>
                <w:b w:val="false"/>
                <w:bCs w:val="false"/>
              </w:rPr>
              <w:t xml:space="preserve">R004</w:t>
            </w:r>
          </w:p>
        </w:tc>
        <w:tc>
          <w:tcPr>
            <w:tcW w:type="dxa" w:w="2600"/>
          </w:tcPr>
          <w:p>
            <w:r>
              <w:rPr>
                <w:b w:val="false"/>
                <w:bCs w:val="false"/>
              </w:rPr>
              <w:t xml:space="preserve">1. Robo</w:t>
            </w:r>
          </w:p>
        </w:tc>
        <w:tc>
          <w:tcPr>
            <w:tcW w:type="dxa" w:w="2800"/>
          </w:tcPr>
          <w:p>
            <w:r>
              <w:rPr>
                <w:b w:val="false"/>
                <w:bCs w:val="false"/>
              </w:rPr>
              <w:t xml:space="preserve">2 = 'Con cierta frecuencia'</w:t>
            </w:r>
          </w:p>
        </w:tc>
        <w:tc>
          <w:tcPr>
            <w:tcW w:type="dxa" w:w="1200"/>
          </w:tcPr>
          <w:p>
            <w:r>
              <w:rPr>
                <w:b w:val="false"/>
                <w:bCs w:val="false"/>
              </w:rPr>
              <w:t xml:space="preserve">Directo</w:t>
            </w:r>
          </w:p>
        </w:tc>
        <w:tc>
          <w:tcPr>
            <w:tcW w:type="dxa" w:w="1700"/>
          </w:tcPr>
          <w:p>
            <w:r>
              <w:rPr>
                <w:b w:val="false"/>
                <w:bCs w:val="false"/>
              </w:rPr>
              <w:t xml:space="preserve">2</w:t>
            </w:r>
          </w:p>
        </w:tc>
        <w:tc>
          <w:tcPr>
            <w:tcW w:type="dxa" w:w="1700"/>
          </w:tcPr>
          <w:p>
            <w:r>
              <w:rPr>
                <w:b w:val="false"/>
                <w:bCs w:val="false"/>
              </w:rPr>
              <w:t xml:space="preserve">0.67</w:t>
            </w:r>
          </w:p>
        </w:tc>
      </w:tr>
      <w:tr>
        <w:tc>
          <w:tcPr>
            <w:tcW w:type="dxa" w:w="1000"/>
          </w:tcPr>
          <w:p>
            <w:r>
              <w:rPr>
                <w:b w:val="false"/>
                <w:bCs w:val="false"/>
              </w:rPr>
              <w:t xml:space="preserve">R033</w:t>
            </w:r>
          </w:p>
        </w:tc>
        <w:tc>
          <w:tcPr>
            <w:tcW w:type="dxa" w:w="2600"/>
          </w:tcPr>
          <w:p>
            <w:r>
              <w:rPr>
                <w:b w:val="false"/>
                <w:bCs w:val="false"/>
              </w:rPr>
              <w:t xml:space="preserve">9. Acoso Sexual</w:t>
            </w:r>
          </w:p>
        </w:tc>
        <w:tc>
          <w:tcPr>
            <w:tcW w:type="dxa" w:w="2800"/>
          </w:tcPr>
          <w:p>
            <w:r>
              <w:rPr>
                <w:b w:val="false"/>
                <w:bCs w:val="false"/>
              </w:rPr>
              <w:t xml:space="preserve">0 = 'Totalmente en desacuerdo'</w:t>
            </w:r>
          </w:p>
        </w:tc>
        <w:tc>
          <w:tcPr>
            <w:tcW w:type="dxa" w:w="1200"/>
          </w:tcPr>
          <w:p>
            <w:r>
              <w:rPr>
                <w:b w:val="false"/>
                <w:bCs w:val="false"/>
              </w:rPr>
              <w:t xml:space="preserve">Directo</w:t>
            </w:r>
          </w:p>
        </w:tc>
        <w:tc>
          <w:tcPr>
            <w:tcW w:type="dxa" w:w="1700"/>
          </w:tcPr>
          <w:p>
            <w:r>
              <w:rPr>
                <w:b w:val="false"/>
                <w:bCs w:val="false"/>
              </w:rPr>
              <w:t xml:space="preserve">0</w:t>
            </w:r>
          </w:p>
        </w:tc>
        <w:tc>
          <w:tcPr>
            <w:tcW w:type="dxa" w:w="1700"/>
          </w:tcPr>
          <w:p>
            <w:r>
              <w:rPr>
                <w:b w:val="false"/>
                <w:bCs w:val="false"/>
              </w:rPr>
              <w:t xml:space="preserve">0.00</w:t>
            </w:r>
          </w:p>
        </w:tc>
      </w:tr>
      <w:tr>
        <w:tc>
          <w:tcPr>
            <w:tcW w:type="dxa" w:w="1000"/>
          </w:tcPr>
          <w:p>
            <w:r>
              <w:rPr>
                <w:b w:val="false"/>
                <w:bCs w:val="false"/>
              </w:rPr>
              <w:t xml:space="preserve">R034</w:t>
            </w:r>
          </w:p>
        </w:tc>
        <w:tc>
          <w:tcPr>
            <w:tcW w:type="dxa" w:w="2600"/>
          </w:tcPr>
          <w:p>
            <w:r>
              <w:rPr>
                <w:b w:val="false"/>
                <w:bCs w:val="false"/>
              </w:rPr>
              <w:t xml:space="preserve">9. Acoso Sexual</w:t>
            </w:r>
          </w:p>
        </w:tc>
        <w:tc>
          <w:tcPr>
            <w:tcW w:type="dxa" w:w="2800"/>
          </w:tcPr>
          <w:p>
            <w:r>
              <w:rPr>
                <w:b w:val="false"/>
                <w:bCs w:val="false"/>
              </w:rPr>
              <w:t xml:space="preserve">0 = 'Ninguna vez'</w:t>
            </w:r>
          </w:p>
        </w:tc>
        <w:tc>
          <w:tcPr>
            <w:tcW w:type="dxa" w:w="1200"/>
          </w:tcPr>
          <w:p>
            <w:r>
              <w:rPr>
                <w:b w:val="false"/>
                <w:bCs w:val="false"/>
              </w:rPr>
              <w:t xml:space="preserve">Directo</w:t>
            </w:r>
          </w:p>
        </w:tc>
        <w:tc>
          <w:tcPr>
            <w:tcW w:type="dxa" w:w="1700"/>
          </w:tcPr>
          <w:p>
            <w:r>
              <w:rPr>
                <w:b w:val="false"/>
                <w:bCs w:val="false"/>
              </w:rPr>
              <w:t xml:space="preserve">0</w:t>
            </w:r>
          </w:p>
        </w:tc>
        <w:tc>
          <w:tcPr>
            <w:tcW w:type="dxa" w:w="1700"/>
          </w:tcPr>
          <w:p>
            <w:r>
              <w:rPr>
                <w:b w:val="false"/>
                <w:bCs w:val="false"/>
              </w:rPr>
              <w:t xml:space="preserve">0.00</w:t>
            </w:r>
          </w:p>
        </w:tc>
      </w:tr>
      <w:tr>
        <w:tc>
          <w:tcPr>
            <w:tcW w:type="dxa" w:w="1000"/>
          </w:tcPr>
          <w:p>
            <w:r>
              <w:rPr>
                <w:b w:val="false"/>
                <w:bCs w:val="false"/>
              </w:rPr>
              <w:t xml:space="preserve">R067</w:t>
            </w:r>
          </w:p>
        </w:tc>
        <w:tc>
          <w:tcPr>
            <w:tcW w:type="dxa" w:w="2600"/>
          </w:tcPr>
          <w:p>
            <w:r>
              <w:rPr>
                <w:b w:val="false"/>
                <w:bCs w:val="false"/>
              </w:rPr>
              <w:t xml:space="preserve">19. Ludopatía (Contextual)</w:t>
            </w:r>
          </w:p>
        </w:tc>
        <w:tc>
          <w:tcPr>
            <w:tcW w:type="dxa" w:w="2800"/>
          </w:tcPr>
          <w:p>
            <w:r>
              <w:rPr>
                <w:b w:val="false"/>
                <w:bCs w:val="false"/>
              </w:rPr>
              <w:t xml:space="preserve">2 = 'Con cierta frecuencia'</w:t>
            </w:r>
          </w:p>
        </w:tc>
        <w:tc>
          <w:tcPr>
            <w:tcW w:type="dxa" w:w="1200"/>
          </w:tcPr>
          <w:p>
            <w:r>
              <w:rPr>
                <w:b w:val="false"/>
                <w:bCs w:val="false"/>
              </w:rPr>
              <w:t xml:space="preserve">Directo</w:t>
            </w:r>
          </w:p>
        </w:tc>
        <w:tc>
          <w:tcPr>
            <w:tcW w:type="dxa" w:w="1700"/>
          </w:tcPr>
          <w:p>
            <w:r>
              <w:rPr>
                <w:b w:val="false"/>
                <w:bCs w:val="false"/>
              </w:rPr>
              <w:t xml:space="preserve">2</w:t>
            </w:r>
          </w:p>
        </w:tc>
        <w:tc>
          <w:tcPr>
            <w:tcW w:type="dxa" w:w="1700"/>
          </w:tcPr>
          <w:p>
            <w:r>
              <w:rPr>
                <w:b w:val="false"/>
                <w:bCs w:val="false"/>
              </w:rPr>
              <w:t xml:space="preserve">0.67</w:t>
            </w:r>
          </w:p>
        </w:tc>
      </w:tr>
    </w:tbl>
    <w:p>
      <w:pPr>
        <w:spacing w:after="200"/>
      </w:pPr>
    </w:p>
    <w:p>
      <w:pPr>
        <w:spacing w:after="150"/>
      </w:pPr>
      <w:r>
        <w:t xml:space="preserve">Cada valor de reactivo se ajusta según su dirección (Paso 1 de la Fase 6): en los reactivos Directos, el valor de reactivo es igual a la respuesta cruda; en el reactivo Inverso (R003), el valor de reactivo es Valor_máximo (4) menos la respuesta cruda (1) = 3. Después, cada valor de reactivo se normaliza dividiéndolo entre su propio Valor_máximo (Paso 2), quedando siempre en una escala de 0 (menor riesgo) a 1 (mayor riesgo).</w:t>
      </w:r>
    </w:p>
    <w:p>
      <w:pPr>
        <w:pStyle w:val="Heading1"/>
        <w:spacing w:after="200" w:before="400"/>
      </w:pPr>
      <w:r>
        <w:t xml:space="preserve">2. Puntaje de dimensión (Paso 3)</w:t>
      </w:r>
    </w:p>
    <w:p>
      <w:pPr>
        <w:spacing w:after="150"/>
      </w:pPr>
      <w:r>
        <w:t xml:space="preserve">Dimensión 1 — Robo: promedio de R001 (0.75), R002 (0.00), R003 (0.75) y R004 (0.67) = (0.75+0.00+0.75+0.67)/4 = 0.54.</w:t>
      </w:r>
    </w:p>
    <w:p>
      <w:pPr>
        <w:spacing w:after="150"/>
      </w:pPr>
      <w:r>
        <w:t xml:space="preserve">Dimensión 9 — Acoso Sexual: con los 2 reactivos disponibles en este ejemplo (R033=0.00, R034=0.00), el puntaje ilustrativo de la dimensión es 0.00. [INFERENCIA] En una aplicación real, este promedio incluiría también los otros 2 reactivos de la dimensión, no usados en este ejemplo abreviado.</w:t>
      </w:r>
    </w:p>
    <w:p>
      <w:pPr>
        <w:spacing w:after="150"/>
      </w:pPr>
      <w:r>
        <w:t xml:space="preserve">Dimensión 19 — Ludopatía (Factor Contextual): con el único reactivo disponible en este ejemplo (R067 = 0.67), el puntaje ilustrativo de la dimensión es 0.67. Al ser una dimensión Contextual, este puntaje se reporta aparte y NUNCA se suma al IGI (ver Fase 6, Sección 5).</w:t>
      </w:r>
    </w:p>
    <w:p>
      <w:pPr>
        <w:spacing w:after="150"/>
      </w:pPr>
      <w:r>
        <w:rPr>
          <w:b/>
          <w:bCs/>
        </w:rPr>
        <w:t xml:space="preserve">[HIPÓTESIS] </w:t>
      </w:r>
      <w:r>
        <w:t xml:space="preserve"> Para las 10 dimensiones Núcleo restantes no evaluadas en este ejemplo abreviado (Mentira, Fraude, Irresponsabilidad, Soborno, Deslealtad, Favoritismo, Abuso de Recursos, Maltrato Laboral, Discriminación y Asociación Criminal), se asigna un valor de marcador de 0.30 a cada una, únicamente para poder ilustrar la fórmula de ponderación completa de la Sección 3. Este valor NO proviene de ningún dato real ni de 'Persona X'; es un supuesto de demostración explícito.</w:t>
      </w:r>
    </w:p>
    <w:p>
      <w:pPr>
        <w:pStyle w:val="Heading1"/>
        <w:spacing w:after="200" w:before="400"/>
      </w:pPr>
      <w:r>
        <w:t xml:space="preserve">3. Ponderación y cálculo del IGI, antes de aplicar indicadores de validez</w:t>
      </w:r>
    </w:p>
    <w:p>
      <w:pPr>
        <w:spacing w:after="150"/>
      </w:pPr>
      <w:r>
        <w:t xml:space="preserve">Con pesos iguales de 1/12 ≈ 8.33% para cada una de las 12 dimensiones Núcleo (Fase 6, Sección 5):</w:t>
      </w:r>
    </w:p>
    <w:p>
      <w:pPr>
        <w:spacing w:after="150"/>
      </w:pPr>
      <w:r>
        <w:rPr>
          <w:rFonts w:ascii="Courier New" w:cs="Courier New" w:eastAsia="Courier New" w:hAnsi="Courier New"/>
        </w:rPr>
        <w:t xml:space="preserve">IGI_preliminar = (0.54×1/12) + (0.00×1/12) + (0.30×1/12)×10 dimensiones restantes</w:t>
      </w:r>
    </w:p>
    <w:p>
      <w:pPr>
        <w:spacing w:after="150"/>
      </w:pPr>
      <w:r>
        <w:rPr>
          <w:rFonts w:ascii="Courier New" w:cs="Courier New" w:eastAsia="Courier New" w:hAnsi="Courier New"/>
        </w:rPr>
        <w:t xml:space="preserve">IGI_preliminar = 0.0450 + 0.0000 + 0.2500 = 0.2950 ≈ 29.5 / 100</w:t>
      </w:r>
    </w:p>
    <w:p>
      <w:pPr>
        <w:spacing w:after="150"/>
      </w:pPr>
      <w:r>
        <w:rPr>
          <w:rFonts w:ascii="Courier New" w:cs="Courier New" w:eastAsia="Courier New" w:hAnsi="Courier New"/>
        </w:rPr>
        <w:t xml:space="preserve">IIC_preliminar = 1 − 0.2950 = 0.7050 ≈ 70.5 / 100</w:t>
      </w:r>
    </w:p>
    <w:p>
      <w:pPr>
        <w:pStyle w:val="Heading1"/>
        <w:spacing w:after="200" w:before="400"/>
      </w:pPr>
      <w:r>
        <w:t xml:space="preserve">4. Aplicación de un indicador de validez: Contradicción en el par espejo de la Dimensión 1</w:t>
      </w:r>
    </w:p>
    <w:p>
      <w:pPr>
        <w:spacing w:after="150"/>
      </w:pPr>
      <w:r>
        <w:t xml:space="preserve">R001 (Opinión, dirección Directo) y R002 (Involucramiento pasado, dirección Directo) forman el par espejo obligatorio de la Dimensión 1 — Robo, definido en la Fase 2 (Sección 4). Sus valores normalizados son 0.75 (R001) y 0.00 (R002): la regla de tolerancia de la Fase 2 marca esto como una contradicción, porque las respuestas caen en polos opuestos de sus respectivas escalas (una actitud de alto riesgo declarada — 'de acuerdo' con la racionalización de la sustracción — junto con un historial auto-reportado de riesgo nulo — 'ninguna vez' se llevó algo del trabajo).</w:t>
      </w:r>
    </w:p>
    <w:p>
      <w:pPr>
        <w:spacing w:after="150"/>
      </w:pPr>
      <w:r>
        <w:t xml:space="preserve">El par espejo de la Dimensión 9 (R033-R034) no muestra contradicción: ambos reactivos coinciden en el polo de menor riesgo (0.00 y 0.00), por lo que es consistente.</w:t>
      </w:r>
    </w:p>
    <w:p>
      <w:pPr>
        <w:pStyle w:val="Heading1"/>
        <w:spacing w:after="200" w:before="400"/>
      </w:pPr>
      <w:r>
        <w:t xml:space="preserve">5. Invalidación parcial y renormalización de pesos</w:t>
      </w:r>
    </w:p>
    <w:p>
      <w:pPr>
        <w:spacing w:after="150"/>
      </w:pPr>
      <w:r>
        <w:rPr>
          <w:b/>
          <w:bCs/>
        </w:rPr>
        <w:t xml:space="preserve">[HECHO] </w:t>
      </w:r>
      <w:r>
        <w:t xml:space="preserve"> Conforme a la Fase 2 (Sección 5.5) y a la Fase 6 (Sección 8.1), 1 contradicción detectada en un par espejo invalida parcialmente esa dimensión: la Dimensión 1 — Robo se excluye del cálculo del IGI de esta aplicación de 'Persona X' y se reporta como 'no concluyente'.</w:t>
      </w:r>
    </w:p>
    <w:p>
      <w:pPr>
        <w:spacing w:after="150"/>
      </w:pPr>
      <w:r>
        <w:t xml:space="preserve">Con la Dimensión 1 excluida, quedan 11 dimensiones Núcleo evaluables en este ejemplo (las 12 originales menos Robo). Los pesos se renormalizan para que vuelvan a sumar 100% entre esas 11:</w:t>
      </w:r>
    </w:p>
    <w:p>
      <w:pPr>
        <w:spacing w:after="150"/>
      </w:pPr>
      <w:r>
        <w:rPr>
          <w:rFonts w:ascii="Courier New" w:cs="Courier New" w:eastAsia="Courier New" w:hAnsi="Courier New"/>
        </w:rPr>
        <w:t xml:space="preserve">Peso_renormalizado_i = (1/12) / (11/12) = 1/11 ≈ 9.09% cada una</w:t>
      </w:r>
    </w:p>
    <w:p>
      <w:pPr>
        <w:spacing w:after="150"/>
      </w:pPr>
      <w:r>
        <w:rPr>
          <w:rFonts w:ascii="Courier New" w:cs="Courier New" w:eastAsia="Courier New" w:hAnsi="Courier New"/>
        </w:rPr>
        <w:t xml:space="preserve">IGI_final = (0.00×1/11) + (0.30×1/11)×10 = 0.0000 + 0.2727 = 0.2727 ≈ 27.3 / 100</w:t>
      </w:r>
    </w:p>
    <w:p>
      <w:pPr>
        <w:spacing w:after="150"/>
      </w:pPr>
      <w:r>
        <w:rPr>
          <w:rFonts w:ascii="Courier New" w:cs="Courier New" w:eastAsia="Courier New" w:hAnsi="Courier New"/>
        </w:rPr>
        <w:t xml:space="preserve">IIC_final = 1 − 0.2727 = 0.7273 ≈ 72.7 / 100</w:t>
      </w:r>
    </w:p>
    <w:p>
      <w:pPr>
        <w:spacing w:after="150"/>
      </w:pPr>
      <w:r>
        <w:t xml:space="preserve">Como no hubo invalidación total (solo 1 contradicción, por debajo del umbral de 3 que definiría invalidación total, Fase 2 Sección 5.4), el resultado de 'Persona X' sigue siendo válido para uso en la capa de decisión empresarial, con la nota explícita de que la Dimensión 1 — Robo no es concluyente y debe interpretarse con cautela adicional (por ejemplo, complementando con una entrevista dirigida a esa dimensión específica).</w:t>
      </w:r>
    </w:p>
    <w:p>
      <w:pPr>
        <w:pStyle w:val="Heading1"/>
        <w:spacing w:after="200" w:before="400"/>
      </w:pPr>
      <w:r>
        <w:t xml:space="preserve">6. Resultado en la capa individual (perfil viral)</w:t>
      </w:r>
    </w:p>
    <w:p>
      <w:pPr>
        <w:spacing w:after="150"/>
      </w:pPr>
      <w:r>
        <w:t xml:space="preserve">Encabezado del perfil: 'Tu puntaje de integridad: 73/100' (IIC_final × 100, redondeado).</w:t>
      </w:r>
    </w:p>
    <w:p>
      <w:pPr>
        <w:spacing w:after="150"/>
      </w:pPr>
      <w:r>
        <w:t xml:space="preserve">Nota de transparencia (Fase 6, Sección 8.1 y Fase 10, Sección 2.3): mensaje breve indicando que una de las secciones del test mostró respuestas poco consistentes entre sí y se marcó como no concluyente, invitando a revisar esa sección si la persona lo desea.</w:t>
      </w:r>
    </w:p>
    <w:p>
      <w:pPr>
        <w:spacing w:after="150"/>
      </w:pPr>
      <w:r>
        <w:t xml:space="preserve">Puntaje de Ludopatía (Factor Contextual, reportado aparte): 0.67 normalizado (equivalente a 33/100 en escala de integridad, es decir, riesgo relativamente alto en esta dimensión específica de contexto, sin afectar el puntaje general).</w:t>
      </w:r>
    </w:p>
    <w:p>
      <w:pPr>
        <w:pStyle w:val="Heading1"/>
        <w:spacing w:after="200" w:before="400"/>
      </w:pPr>
      <w:r>
        <w:t xml:space="preserve">7. Resultado en la capa empresarial (reporte de riesgo)</w:t>
      </w:r>
    </w:p>
    <w:p>
      <w:pPr>
        <w:spacing w:after="150"/>
      </w:pPr>
      <w:r>
        <w:t xml:space="preserve">IGI final reportado al reclutador: 27.3/100 (riesgo relativamente bajo, con la salvedad de la Dimensión 1 — Robo marcada como no concluyente por inconsistencia en el par espejo).</w:t>
      </w:r>
    </w:p>
    <w:p>
      <w:pPr>
        <w:spacing w:after="150"/>
      </w:pPr>
      <w:r>
        <w:t xml:space="preserve">Recomendación operativa [HIPÓTESIS, no vinculante]: dado que la Dimensión 1 (Robo) forma parte de la Base obligatoria del instrumento y quedó no concluyente, se sugiere al reclutador no descartar candidatos únicamente por este resultado, sino complementar con una pregunta dirigida en la entrevista sobre manejo de bienes/recursos ajenos antes de tomar una decisión final.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2026-09-09T21:45:19.800Z</dcterms:created>
  <dcterms:modified xsi:type="dcterms:W3CDTF">2026-09-09T21:45:19.801Z</dcterms:modified>
</cp:coreProperties>
</file>

<file path=docProps/custom.xml><?xml version="1.0" encoding="utf-8"?>
<Properties xmlns="http://schemas.openxmlformats.org/officeDocument/2006/custom-properties" xmlns:vt="http://schemas.openxmlformats.org/officeDocument/2006/docPropsVTypes"/>
</file>