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b/>
          <w:bCs/>
          <w:sz w:val="36"/>
          <w:szCs w:val="36"/>
        </w:rPr>
        <w:t xml:space="preserve">Índice — Reactivos por Dimensión</w:t>
      </w:r>
    </w:p>
    <w:p>
      <w:pPr>
        <w:spacing w:after="60"/>
        <w:jc w:val="center"/>
      </w:pPr>
      <w:r>
        <w:rPr>
          <w:i/>
          <w:iCs/>
        </w:rPr>
        <w:t xml:space="preserve">[NOMBRE DEL INSTRUMENTO] — 21 archivos independientes, uno por dimensión</w:t>
      </w:r>
    </w:p>
    <w:p>
      <w:pPr>
        <w:spacing w:after="300"/>
        <w:jc w:val="center"/>
      </w:pPr>
      <w:r>
        <w:rPr>
          <w:sz w:val="20"/>
          <w:szCs w:val="20"/>
        </w:rPr>
        <w:t xml:space="preserve">Preparado para: George (jsuasnavas@gmail.com) · Fecha: 10 de septiembre de 2026</w:t>
      </w:r>
    </w:p>
    <w:p>
      <w:pPr>
        <w:spacing w:after="120"/>
      </w:pPr>
      <w:r>
        <w:t xml:space="preserve">Cada dimensión tiene su propio archivo, dentro de la carpeta Reactivos_por_Dimension, con sus reactivos, variantes de redacción, opciones y clave de respuesta (qué valor tiene cada opción). Son un extracto de Fase 3-5 organizado por dimensión, para poder consultar o actualizar una sola dimensión sin abrir el banco completo.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800"/>
        <w:gridCol w:w="1400"/>
        <w:gridCol w:w="2800"/>
      </w:tblGrid>
      <w:tr>
        <w:tc>
          <w:tcPr>
            <w:tcW w:type="dxa" w:w="500"/>
            <w:shd w:fill="D9D9D9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800"/>
            <w:shd w:fill="D9D9D9" w:val="clear"/>
          </w:tcPr>
          <w:p>
            <w:r>
              <w:rPr>
                <w:b/>
                <w:bCs/>
              </w:rPr>
              <w:t xml:space="preserve">Dimensión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</w:rPr>
              <w:t xml:space="preserve">Grupo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b/>
                <w:bCs/>
              </w:rPr>
              <w:t xml:space="preserve">N° reactivos</w:t>
            </w:r>
          </w:p>
        </w:tc>
        <w:tc>
          <w:tcPr>
            <w:tcW w:type="dxa" w:w="2800"/>
            <w:shd w:fill="D9D9D9" w:val="clear"/>
          </w:tcPr>
          <w:p>
            <w:r>
              <w:rPr>
                <w:b/>
                <w:bCs/>
              </w:rPr>
              <w:t xml:space="preserve">Archivo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Robo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Núcleo-Base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01_Robo.docx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Mentira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Núcleo-Base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02_Mentira.docx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Fraude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Núcleo-Base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03_Fraude.docx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Irresponsabilidad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Núcleo-Base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04_Irresponsabilidad.docx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Soborno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Núcleo-Base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05_Soborno.docx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Deslealtad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Núcleo-Adicional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06_Deslealtad.docx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Favoritismo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Núcleo-Adicional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07_Favoritismo.docx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Abuso de Recursos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Núcleo-Adicional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08_Abuso_de_Recursos.docx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Acoso Sexual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Núcleo-Adicional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09_Acoso_Sexual.docx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Maltrato Laboral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Núcleo-Adicional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10_Maltrato_Laboral.docx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Discriminación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Núcleo-Adicional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11_Discriminacion.docx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Asociación Criminal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Núcleo-Adicional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12_Asociacion_Criminal.docx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Sustancias Lícitas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Contextual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13_Sustancias_Licitas.docx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Sustancias Ilícitas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Contextual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14_Sustancias_Ilicitas.docx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Incumplimiento de Normas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Contextual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15_Incumplimiento_de_Normas.docx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Deudas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Contextual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16_Deudas.docx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Impulsividad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Contextual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17_Impulsividad.docx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Violencia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Contextual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18_Violencia.docx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Ludopatía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Contextual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19_Ludopatia.docx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Egoísmo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Contextual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20_Egoismo.docx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Impunidad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Contextual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21_Impunidad.docx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2026-09-10T02:56:05.344Z</dcterms:created>
  <dcterms:modified xsi:type="dcterms:W3CDTF">2026-09-10T02:56:05.344Z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