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300"/>
        <w:jc w:val="center"/>
      </w:pPr>
      <w:r>
        <w:rPr>
          <w:b/>
          <w:bCs/>
          <w:sz w:val="36"/>
          <w:szCs w:val="36"/>
        </w:rPr>
        <w:t xml:space="preserve">Dimensión 19 — Ludopatía</w:t>
      </w:r>
    </w:p>
    <w:p>
      <w:pPr>
        <w:spacing w:after="60"/>
        <w:jc w:val="center"/>
      </w:pPr>
      <w:r>
        <w:rPr>
          <w:i/>
          <w:iCs/>
        </w:rPr>
        <w:t xml:space="preserve">[NOMBRE DEL INSTRUMENTO] — Reactivos y clave de respuesta de esta dimensión</w:t>
      </w:r>
    </w:p>
    <w:p>
      <w:pPr>
        <w:spacing w:after="60"/>
        <w:jc w:val="center"/>
      </w:pPr>
      <w:r>
        <w:rPr>
          <w:i/>
          <w:iCs/>
        </w:rPr>
        <w:t xml:space="preserve">Grupo: Factor Contextual</w:t>
      </w:r>
    </w:p>
    <w:p>
      <w:pPr>
        <w:spacing w:after="300"/>
        <w:jc w:val="center"/>
      </w:pPr>
      <w:r>
        <w:rPr>
          <w:sz w:val="20"/>
          <w:szCs w:val="20"/>
        </w:rPr>
        <w:t xml:space="preserve">Preparado para: George (jsuasnavas@gmail.com) · Fecha: 10 de septiembre de 2026</w:t>
      </w:r>
    </w:p>
    <w:p>
      <w:pPr>
        <w:spacing w:after="120"/>
      </w:pPr>
      <w:r>
        <w:rPr>
          <w:b/>
          <w:bCs/>
        </w:rPr>
        <w:t xml:space="preserve">Uso interno: </w:t>
      </w:r>
      <w:r>
        <w:t xml:space="preserve">este archivo contiene la clave de respuesta (qué opción vale qué puntaje) de esta dimensión. No debe compartirse con candidatos ni con personas que vayan a tomar el test, porque revela cómo se puntúa cada reactivo. Es un extracto de Fase3_Banco_Reactivos_Parte1.docx / Fase4 / Fase5, separado por dimensión para facilitar su consulta y actualización individual.</w:t>
      </w:r>
    </w:p>
    <w:p>
      <w:pPr>
        <w:pStyle w:val="Heading1"/>
        <w:spacing w:after="150" w:before="300"/>
      </w:pPr>
      <w:r>
        <w:t xml:space="preserve">Reactivos de la dimensión 19. Ludopatía (3 reactivos)</w:t>
      </w:r>
    </w:p>
    <w:p>
      <w:pPr>
        <w:pStyle w:val="Heading3"/>
        <w:spacing w:after="100" w:before="200"/>
      </w:pPr>
      <w:r>
        <w:t xml:space="preserve">R067 — Frecuencia e intensidad de apuestas de dinero</w:t>
      </w:r>
    </w:p>
    <w:p>
      <w:pPr>
        <w:spacing w:after="90"/>
      </w:pPr>
      <w:r>
        <w:rPr>
          <w:b/>
          <w:bCs/>
        </w:rPr>
        <w:t xml:space="preserve">Tipo de reactivo: </w:t>
      </w:r>
      <w:r>
        <w:t xml:space="preserve">3-Involucramiento pasado</w:t>
      </w:r>
    </w:p>
    <w:p>
      <w:pPr>
        <w:spacing w:after="90"/>
      </w:pPr>
      <w:r>
        <w:rPr>
          <w:b/>
          <w:bCs/>
        </w:rPr>
        <w:t xml:space="preserve">Indicador conductual (Fase 1): </w:t>
      </w:r>
      <w:r>
        <w:t xml:space="preserve">Frecuencia e intensidad declarada de apuestas de dinero en cualquier modalidad (no limitado a casinos).</w:t>
      </w:r>
    </w:p>
    <w:p>
      <w:pPr>
        <w:spacing w:after="90"/>
      </w:pPr>
      <w:r>
        <w:rPr>
          <w:b/>
          <w:bCs/>
        </w:rPr>
        <w:t xml:space="preserve">Pregunta completa (variante base): </w:t>
      </w:r>
      <w:r>
        <w:t xml:space="preserve">En un mes típico, ¿con qué frecuencia apuestas dinero en cualquier modalidad (lotería, apuestas deportivas, cartas, tragamonedas, apuestas en línea, u otras)?</w:t>
      </w:r>
    </w:p>
    <w:p>
      <w:pPr>
        <w:spacing w:after="60"/>
      </w:pPr>
      <w:r>
        <w:rPr>
          <w:b/>
          <w:bCs/>
        </w:rPr>
        <w:t xml:space="preserve">Variantes de redacción (se muestra 1 al azar por aplicación):</w:t>
      </w:r>
    </w:p>
    <w:p>
      <w:pPr>
        <w:spacing w:after="60"/>
        <w:ind w:left="200"/>
      </w:pPr>
      <w:r>
        <w:t xml:space="preserve">Variante 1 (base): En un mes típico, ¿con qué frecuencia apuestas dinero en cualquier modalidad (lotería, apuestas deportivas, cartas, tragamonedas, apuestas en línea, u otras)?</w:t>
      </w:r>
    </w:p>
    <w:p>
      <w:pPr>
        <w:spacing w:after="60"/>
        <w:ind w:left="200"/>
      </w:pPr>
      <w:r>
        <w:t xml:space="preserve">Variante 2: En un mes típico, ¿con qué frecuencia compras billetes de lotería o rifas esperando 'la gran oportunidad'?</w:t>
      </w:r>
    </w:p>
    <w:p>
      <w:pPr>
        <w:spacing w:after="60"/>
        <w:ind w:left="200"/>
      </w:pPr>
      <w:r>
        <w:t xml:space="preserve">Variante 3: En un mes típico, ¿con qué frecuencia haces apuestas deportivas, en persona o por aplicaciones en línea?</w:t>
      </w:r>
    </w:p>
    <w:p>
      <w:pPr>
        <w:spacing w:after="60"/>
        <w:ind w:left="200"/>
      </w:pPr>
      <w:r>
        <w:t xml:space="preserve">Variante 4: En un mes típico, ¿con qué frecuencia juegas cartas, tragamonedas o juegos similares apostando dinero?</w:t>
      </w:r>
    </w:p>
    <w:p>
      <w:pPr>
        <w:spacing w:after="90"/>
      </w:pPr>
      <w:r>
        <w:rPr>
          <w:b/>
          <w:bCs/>
        </w:rPr>
        <w:t xml:space="preserve">Opciones de respuesta y valor de cada una: </w:t>
      </w:r>
      <w:r>
        <w:t xml:space="preserve">Nunca (0) / Rara vez (1) / Con cierta frecuencia (2) / De forma habitual o casi diaria (3)</w:t>
      </w:r>
    </w:p>
    <w:p>
      <w:pPr>
        <w:spacing w:after="90"/>
      </w:pPr>
      <w:r>
        <w:rPr>
          <w:b/>
          <w:bCs/>
        </w:rPr>
        <w:t xml:space="preserve">Dirección: </w:t>
      </w:r>
      <w:r>
        <w:t xml:space="preserve">Directo</w:t>
      </w:r>
    </w:p>
    <w:p>
      <w:pPr>
        <w:spacing w:after="90"/>
      </w:pPr>
      <w:r>
        <w:rPr>
          <w:b/>
          <w:bCs/>
        </w:rPr>
        <w:t xml:space="preserve">Respuesta de menor riesgo: </w:t>
      </w:r>
      <w:r>
        <w:t xml:space="preserve">Nunca (valor 0)</w:t>
      </w:r>
    </w:p>
    <w:p>
      <w:pPr>
        <w:spacing w:after="90"/>
      </w:pPr>
      <w:r>
        <w:rPr>
          <w:b/>
          <w:bCs/>
        </w:rPr>
        <w:t xml:space="preserve">Valor psicométrico (cómo se transforma la respuesta cruda): </w:t>
      </w:r>
      <w:r>
        <w:t xml:space="preserve">Escala 0-3 según el orden de las opciones listado arriba; reactivo directo, sin inversión.</w:t>
      </w:r>
    </w:p>
    <w:p>
      <w:pPr>
        <w:spacing w:after="90"/>
      </w:pPr>
      <w:r>
        <w:rPr>
          <w:b/>
          <w:bCs/>
        </w:rPr>
        <w:t xml:space="preserve">Reactivos de contraste (par espejo): </w:t>
      </w:r>
      <w:r>
        <w:t xml:space="preserve">No aplica (las dimensiones Contextuales no tienen par espejo obligatorio, Fase 2 Sección 6).</w:t>
      </w:r>
    </w:p>
    <w:p>
      <w:pPr>
        <w:spacing w:after="100"/>
      </w:pPr>
    </w:p>
    <w:p>
      <w:pPr>
        <w:pStyle w:val="Heading3"/>
        <w:spacing w:after="100" w:before="200"/>
      </w:pPr>
      <w:r>
        <w:t xml:space="preserve">R068 — Persistencia en el juego a pesar de pérdidas</w:t>
      </w:r>
    </w:p>
    <w:p>
      <w:pPr>
        <w:spacing w:after="90"/>
      </w:pPr>
      <w:r>
        <w:rPr>
          <w:b/>
          <w:bCs/>
        </w:rPr>
        <w:t xml:space="preserve">Tipo de reactivo: </w:t>
      </w:r>
      <w:r>
        <w:t xml:space="preserve">1-Opinión/Actitud</w:t>
      </w:r>
    </w:p>
    <w:p>
      <w:pPr>
        <w:spacing w:after="90"/>
      </w:pPr>
      <w:r>
        <w:rPr>
          <w:b/>
          <w:bCs/>
        </w:rPr>
        <w:t xml:space="preserve">Indicador conductual (Fase 1): </w:t>
      </w:r>
      <w:r>
        <w:t xml:space="preserve">Persistencia en el juego a pesar de pérdidas económicas relevantes.</w:t>
      </w:r>
    </w:p>
    <w:p>
      <w:pPr>
        <w:spacing w:after="90"/>
      </w:pPr>
      <w:r>
        <w:rPr>
          <w:b/>
          <w:bCs/>
        </w:rPr>
        <w:t xml:space="preserve">Pregunta completa (variante base): </w:t>
      </w:r>
      <w:r>
        <w:t xml:space="preserve">¿Qué tan de acuerdo estás con la siguiente idea: 'Cuando llevo perdido dinero apostando, lo correcto es seguir intentando para recuperar lo perdido'?</w:t>
      </w:r>
    </w:p>
    <w:p>
      <w:pPr>
        <w:spacing w:after="60"/>
      </w:pPr>
      <w:r>
        <w:rPr>
          <w:b/>
          <w:bCs/>
        </w:rPr>
        <w:t xml:space="preserve">Variantes de redacción (se muestra 1 al azar por aplicación):</w:t>
      </w:r>
    </w:p>
    <w:p>
      <w:pPr>
        <w:spacing w:after="60"/>
        <w:ind w:left="200"/>
      </w:pPr>
      <w:r>
        <w:t xml:space="preserve">Variante 1 (base): ¿Qué tan de acuerdo estás con la siguiente idea: 'Cuando llevo perdido dinero apostando, lo correcto es seguir intentando para recuperar lo perdido'?</w:t>
      </w:r>
    </w:p>
    <w:p>
      <w:pPr>
        <w:spacing w:after="60"/>
        <w:ind w:left="200"/>
      </w:pPr>
      <w:r>
        <w:t xml:space="preserve">Variante 2: ¿Qué tan de acuerdo estás con la siguiente idea: 'Jugar lotería o hacer apuestas deportivas seguido es una forma válida de intentar mejorar mis ingresos'?</w:t>
      </w:r>
    </w:p>
    <w:p>
      <w:pPr>
        <w:spacing w:after="60"/>
        <w:ind w:left="200"/>
      </w:pPr>
      <w:r>
        <w:t xml:space="preserve">Variante 3: ¿Qué tan de acuerdo estás con la siguiente idea: 'Si voy perdiendo en una apuesta, lo lógico es seguir jugando para recuperar lo perdido'?</w:t>
      </w:r>
    </w:p>
    <w:p>
      <w:pPr>
        <w:spacing w:after="60"/>
        <w:ind w:left="200"/>
      </w:pPr>
      <w:r>
        <w:t xml:space="preserve">Variante 4: ¿Qué tan de acuerdo estás con la siguiente idea: 'Apostar dinero en línea de forma frecuente no es un problema mientras uno sienta que tiene el control'?</w:t>
      </w:r>
    </w:p>
    <w:p>
      <w:pPr>
        <w:spacing w:after="90"/>
      </w:pPr>
      <w:r>
        <w:rPr>
          <w:b/>
          <w:bCs/>
        </w:rPr>
        <w:t xml:space="preserve">Opciones de respuesta y valor de cada una: </w:t>
      </w:r>
      <w:r>
        <w:t xml:space="preserve">Totalmente en desacuerdo (0) / En desacuerdo (1) / Algo de acuerdo (2) / De acuerdo (3) / Totalmente de acuerdo (4)</w:t>
      </w:r>
    </w:p>
    <w:p>
      <w:pPr>
        <w:spacing w:after="90"/>
      </w:pPr>
      <w:r>
        <w:rPr>
          <w:b/>
          <w:bCs/>
        </w:rPr>
        <w:t xml:space="preserve">Dirección: </w:t>
      </w:r>
      <w:r>
        <w:t xml:space="preserve">Directo</w:t>
      </w:r>
    </w:p>
    <w:p>
      <w:pPr>
        <w:spacing w:after="90"/>
      </w:pPr>
      <w:r>
        <w:rPr>
          <w:b/>
          <w:bCs/>
        </w:rPr>
        <w:t xml:space="preserve">Respuesta de menor riesgo: </w:t>
      </w:r>
      <w:r>
        <w:t xml:space="preserve">Totalmente en desacuerdo (valor 0)</w:t>
      </w:r>
    </w:p>
    <w:p>
      <w:pPr>
        <w:spacing w:after="90"/>
      </w:pPr>
      <w:r>
        <w:rPr>
          <w:b/>
          <w:bCs/>
        </w:rPr>
        <w:t xml:space="preserve">Valor psicométrico (cómo se transforma la respuesta cruda): </w:t>
      </w:r>
      <w:r>
        <w:t xml:space="preserve">Escala 0-4 según el orden de las opciones listado arriba; reactivo directo, sin inversión.</w:t>
      </w:r>
    </w:p>
    <w:p>
      <w:pPr>
        <w:spacing w:after="90"/>
      </w:pPr>
      <w:r>
        <w:rPr>
          <w:b/>
          <w:bCs/>
        </w:rPr>
        <w:t xml:space="preserve">Reactivos de contraste (par espejo): </w:t>
      </w:r>
      <w:r>
        <w:t xml:space="preserve">No aplica (las dimensiones Contextuales no tienen par espejo obligatorio, Fase 2 Sección 6).</w:t>
      </w:r>
    </w:p>
    <w:p>
      <w:pPr>
        <w:spacing w:after="100"/>
      </w:pPr>
    </w:p>
    <w:p>
      <w:pPr>
        <w:pStyle w:val="Heading3"/>
        <w:spacing w:after="100" w:before="200"/>
      </w:pPr>
      <w:r>
        <w:t xml:space="preserve">R069 — Uso de recursos de otras necesidades para apostar</w:t>
      </w:r>
    </w:p>
    <w:p>
      <w:pPr>
        <w:spacing w:after="90"/>
      </w:pPr>
      <w:r>
        <w:rPr>
          <w:b/>
          <w:bCs/>
        </w:rPr>
        <w:t xml:space="preserve">Tipo de reactivo: </w:t>
      </w:r>
      <w:r>
        <w:t xml:space="preserve">4-Escenario/dilema</w:t>
      </w:r>
    </w:p>
    <w:p>
      <w:pPr>
        <w:spacing w:after="90"/>
      </w:pPr>
      <w:r>
        <w:rPr>
          <w:b/>
          <w:bCs/>
        </w:rPr>
        <w:t xml:space="preserve">Indicador conductual (Fase 1): </w:t>
      </w:r>
      <w:r>
        <w:t xml:space="preserve">Uso de recursos destinados a otras necesidades para financiar la conducta de juego.</w:t>
      </w:r>
    </w:p>
    <w:p>
      <w:pPr>
        <w:spacing w:after="90"/>
      </w:pPr>
      <w:r>
        <w:rPr>
          <w:b/>
          <w:bCs/>
        </w:rPr>
        <w:t xml:space="preserve">Pregunta completa (variante base): </w:t>
      </w:r>
      <w:r>
        <w:t xml:space="preserve">Imagina que tienes dinero apartado para un gasto necesario (renta, servicios, alimentación) y una oportunidad de apostar que te parece prometedora. ¿Qué tan probable es que uses parte de ese dinero para apostar?</w:t>
      </w:r>
    </w:p>
    <w:p>
      <w:pPr>
        <w:spacing w:after="60"/>
      </w:pPr>
      <w:r>
        <w:rPr>
          <w:b/>
          <w:bCs/>
        </w:rPr>
        <w:t xml:space="preserve">Variantes de redacción (se muestra 1 al azar por aplicación):</w:t>
      </w:r>
    </w:p>
    <w:p>
      <w:pPr>
        <w:spacing w:after="60"/>
        <w:ind w:left="200"/>
      </w:pPr>
      <w:r>
        <w:t xml:space="preserve">Variante 1 (base): Imagina que tienes dinero apartado para un gasto necesario (renta, servicios, alimentación) y una oportunidad de apostar que te parece prometedora. ¿Qué tan probable es que uses parte de ese dinero para apostar?</w:t>
      </w:r>
    </w:p>
    <w:p>
      <w:pPr>
        <w:spacing w:after="60"/>
        <w:ind w:left="200"/>
      </w:pPr>
      <w:r>
        <w:t xml:space="preserve">Variante 2: Imagina que llevas una racha de suerte apostando en línea. ¿Qué tan probable es que sigas apostando más de lo que tenías planeado originalmente?</w:t>
      </w:r>
    </w:p>
    <w:p>
      <w:pPr>
        <w:spacing w:after="60"/>
        <w:ind w:left="200"/>
      </w:pPr>
      <w:r>
        <w:t xml:space="preserve">Variante 3: Imagina que acabas de perder una apuesta deportiva importante. ¿Qué tan probable es que hagas otra apuesta enseguida para intentar recuperar lo perdido?</w:t>
      </w:r>
    </w:p>
    <w:p>
      <w:pPr>
        <w:spacing w:after="60"/>
        <w:ind w:left="200"/>
      </w:pPr>
      <w:r>
        <w:t xml:space="preserve">Variante 4: Imagina que tienes dinero apartado para un gasto necesario y una oportunidad de jugar cartas o tragamonedas que te parece muy prometedora. ¿Qué tan probable es que uses ese dinero para jugar?</w:t>
      </w:r>
    </w:p>
    <w:p>
      <w:pPr>
        <w:spacing w:after="90"/>
      </w:pPr>
      <w:r>
        <w:rPr>
          <w:b/>
          <w:bCs/>
        </w:rPr>
        <w:t xml:space="preserve">Opciones de respuesta y valor de cada una: </w:t>
      </w:r>
      <w:r>
        <w:t xml:space="preserve">Nada probable (0) / Poco probable (1) / Algo probable (2) / Muy probable (3)</w:t>
      </w:r>
    </w:p>
    <w:p>
      <w:pPr>
        <w:spacing w:after="90"/>
      </w:pPr>
      <w:r>
        <w:rPr>
          <w:b/>
          <w:bCs/>
        </w:rPr>
        <w:t xml:space="preserve">Dirección: </w:t>
      </w:r>
      <w:r>
        <w:t xml:space="preserve">Directo</w:t>
      </w:r>
    </w:p>
    <w:p>
      <w:pPr>
        <w:spacing w:after="90"/>
      </w:pPr>
      <w:r>
        <w:rPr>
          <w:b/>
          <w:bCs/>
        </w:rPr>
        <w:t xml:space="preserve">Respuesta de menor riesgo: </w:t>
      </w:r>
      <w:r>
        <w:t xml:space="preserve">Nada probable (valor 0)</w:t>
      </w:r>
    </w:p>
    <w:p>
      <w:pPr>
        <w:spacing w:after="90"/>
      </w:pPr>
      <w:r>
        <w:rPr>
          <w:b/>
          <w:bCs/>
        </w:rPr>
        <w:t xml:space="preserve">Valor psicométrico (cómo se transforma la respuesta cruda): </w:t>
      </w:r>
      <w:r>
        <w:t xml:space="preserve">Escala 0-3 según el orden de las opciones listado arriba; reactivo directo, sin inversión.</w:t>
      </w:r>
    </w:p>
    <w:p>
      <w:pPr>
        <w:spacing w:after="90"/>
      </w:pPr>
      <w:r>
        <w:rPr>
          <w:b/>
          <w:bCs/>
        </w:rPr>
        <w:t xml:space="preserve">Reactivos de contraste (par espejo): </w:t>
      </w:r>
      <w:r>
        <w:t xml:space="preserve">No aplica (las dimensiones Contextuales no tienen par espejo obligatorio, Fase 2 Sección 6).</w:t>
      </w:r>
    </w:p>
    <w:p>
      <w:pPr>
        <w:spacing w:after="100"/>
      </w:pP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2026-09-10T02:56:05.061Z</dcterms:created>
  <dcterms:modified xsi:type="dcterms:W3CDTF">2026-09-10T02:56:05.061Z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