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6013"/>
      <w:bookmarkStart w:id="1" w:name="_Toc13517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_Toc1343579057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_Toc1343579057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_Toc742662794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_Toc742662794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_Toc758622394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_Toc758622394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_Toc556163719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_Toc556163719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_Toc1594793489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_Toc1594793489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_Toc950771416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_Toc950771416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_Toc189371385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_Toc189371385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_Toc194102841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_Toc194102841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_Toc258788894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_Toc258788894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_Toc810556283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_Toc810556283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_Toc1530675460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_Toc1530675460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_Toc1355848807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_Toc1355848807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_Toc801920932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_Toc801920932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_Toc277735552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_Toc277735552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_Toc1419457533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_Toc1419457533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_Toc426922608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_Toc426922608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_Toc545408029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_Toc545408029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_Toc1212538007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_Toc1212538007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_Toc1653957266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_Toc1653957266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_Toc1031442894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_Toc1031442894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_Toc972720874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_Toc972720874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_Toc1874208354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_Toc1874208354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_Toc529671482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_Toc529671482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_Toc868881159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_Toc868881159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_Toc396839713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_Toc396839713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_Toc1748332456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_Toc1748332456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_Toc204846091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_Toc204846091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_Toc431965296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_Toc431965296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_Toc1546003012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_Toc1546003012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_Toc1267977631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_Toc1267977631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_Toc1419815036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_Toc1419815036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_Toc2140508235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_Toc2140508235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_Toc875851101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_Toc875851101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_Toc1576537969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_Toc1576537969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_Toc1220408297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_Toc1220408297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_Toc785935182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模块和类设计</w:t>
          </w:r>
          <w:r>
            <w:tab/>
          </w:r>
          <w:r>
            <w:fldChar w:fldCharType="begin"/>
          </w:r>
          <w:r>
            <w:instrText xml:space="preserve"> PAGEREF _Toc785935182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_Toc40691177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_Toc40691177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_Toc996812093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_Toc996812093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_Toc900916804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_Toc900916804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134357905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74266279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75862239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6" w:name="_Toc5561637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5947934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846955" cy="4653915"/>
            <wp:effectExtent l="0" t="0" r="4445" b="196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8" w:name="_Toc95077141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3850005" cy="3842385"/>
            <wp:effectExtent l="0" t="0" r="1079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18937138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3655060" cy="3578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19410284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1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020185" cy="3047365"/>
            <wp:effectExtent l="0" t="0" r="184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1" w:name="_Toc25878889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1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926330" cy="2350135"/>
            <wp:effectExtent l="0" t="0" r="1270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81055628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1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331970" cy="1830070"/>
            <wp:effectExtent l="0" t="0" r="11430" b="241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3" w:name="_Toc153067546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1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943985" cy="2012950"/>
            <wp:effectExtent l="0" t="0" r="18415" b="19050"/>
            <wp:docPr id="11" name="图片 11" descr="c811cd835a9bf4f5f859643017efd6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811cd835a9bf4f5f859643017efd62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4" w:name="_Toc135584880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</w:pPr>
      <w:r>
        <w:drawing>
          <wp:inline distT="0" distB="0" distL="114300" distR="114300">
            <wp:extent cx="3190875" cy="5648325"/>
            <wp:effectExtent l="0" t="0" r="952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80192093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1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970145" cy="4129405"/>
            <wp:effectExtent l="0" t="0" r="825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27773555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141945753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同时首次开发的应用为单体架构的应用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42692260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运维测试部署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54540802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121253800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数据库概念结构设计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案例的局部E-R模型设计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案例的全局E-R模型设计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数据库逻辑结构设计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实体关系模式设计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联系关系模式设计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确定物理结构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设计数据库表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165395726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2" w:name="_Toc103144289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2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3" w:name="_Toc97272087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187420835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5" w:name="_Toc52967148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2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6" w:name="_Toc86888115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7" w:name="_Toc39683971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174833245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9" w:name="_Toc204846091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0" w:name="_Toc43196529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1" w:name="_Toc154600301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2" w:name="_Toc126797763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3" w:name="_Toc141981503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3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214050823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87585110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6" w:name="_Toc157653796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7" w:name="_Toc122040829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8" w:name="_Toc78593518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模块和类设计</w:t>
      </w:r>
      <w:bookmarkEnd w:id="3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9" w:name="_Toc4069117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  <w:bookmarkEnd w:id="3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0" w:name="_Toc99681209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4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1" w:name="_Toc90091680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41"/>
      <w:bookmarkStart w:id="42" w:name="_GoBack"/>
      <w:bookmarkEnd w:id="42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52AAA"/>
    <w:multiLevelType w:val="singleLevel"/>
    <w:tmpl w:val="FFF52A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DF4942"/>
    <w:multiLevelType w:val="singleLevel"/>
    <w:tmpl w:val="5BDF494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3EEAF6C"/>
    <w:multiLevelType w:val="singleLevel"/>
    <w:tmpl w:val="73EEAF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1EBF6311"/>
    <w:rsid w:val="5EFF0E5E"/>
    <w:rsid w:val="5FDF9B27"/>
    <w:rsid w:val="5FF764DA"/>
    <w:rsid w:val="719F17F5"/>
    <w:rsid w:val="77CFA3FC"/>
    <w:rsid w:val="7EFFF456"/>
    <w:rsid w:val="7FBE8256"/>
    <w:rsid w:val="B79E3768"/>
    <w:rsid w:val="CBAB533D"/>
    <w:rsid w:val="DBF32390"/>
    <w:rsid w:val="DCF2325D"/>
    <w:rsid w:val="E0BFB2CC"/>
    <w:rsid w:val="EFB381BA"/>
    <w:rsid w:val="F573933A"/>
    <w:rsid w:val="F7B50C1A"/>
    <w:rsid w:val="F93F98E0"/>
    <w:rsid w:val="F9FE7C1F"/>
    <w:rsid w:val="FBDF2F47"/>
    <w:rsid w:val="FD7B125D"/>
    <w:rsid w:val="FD7F68A2"/>
    <w:rsid w:val="FDFBF875"/>
    <w:rsid w:val="FFAAFC76"/>
    <w:rsid w:val="FFBCCF5D"/>
    <w:rsid w:val="FFCCC56E"/>
    <w:rsid w:val="FFFAF6C1"/>
    <w:rsid w:val="FFFEB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2023-06-22T07:05:00Z</dcterms:created>
  <dc:creator>Scoheart</dc:creator>
  <cp:lastModifiedBy>Scoheart</cp:lastModifiedBy>
  <dcterms:modified xsi:type="dcterms:W3CDTF">2023-07-02T14:48:55Z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5035DEB91D8A6A24D71DA16433B8D56F_43</vt:lpwstr>
  </property>
</Properties>
</file>