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w:hAnsi="Aptos" w:eastAsia="Aptos"/>
          <w:b/>
          <w:color w:val="15202B"/>
          <w:sz w:val="40"/>
        </w:rPr>
        <w:t>DataInsight Agent System Demo Script</w:t>
      </w:r>
    </w:p>
    <w:p>
      <w:pPr>
        <w:jc w:val="center"/>
      </w:pPr>
      <w:r>
        <w:rPr>
          <w:rFonts w:ascii="Aptos" w:hAnsi="Aptos" w:eastAsia="Aptos"/>
          <w:color w:val="617084"/>
          <w:sz w:val="21"/>
        </w:rPr>
        <w:t>Short 2-Minute English Voiceover | CSV Cleaning and Analysis Agent</w:t>
      </w:r>
    </w:p>
    <w:p>
      <w:pPr>
        <w:spacing w:before="160" w:after="200"/>
        <w:jc w:val="center"/>
      </w:pPr>
      <w:r>
        <w:rPr>
          <w:rFonts w:ascii="Aptos" w:hAnsi="Aptos" w:eastAsia="Aptos"/>
          <w:b/>
          <w:color w:val="14766D"/>
          <w:sz w:val="20"/>
        </w:rPr>
        <w:t>Read these shorter lines while operating the web app during the screen recording.</w:t>
      </w:r>
    </w:p>
    <w:tbl>
      <w:tblPr>
        <w:tblW w:type="auto" w:w="0"/>
        <w:jc w:val="center"/>
        <w:tblLayout w:type="fixed"/>
        <w:tblLook w:firstColumn="1" w:firstRow="1" w:lastColumn="0" w:lastRow="0" w:noHBand="0" w:noVBand="1" w:val="04A0"/>
        <w:tblBorders>
          <w:top w:val="single" w:sz="5" w:space="0" w:color="D7E0E7"/>
          <w:left w:val="single" w:sz="5" w:space="0" w:color="D7E0E7"/>
          <w:bottom w:val="single" w:sz="5" w:space="0" w:color="D7E0E7"/>
          <w:right w:val="single" w:sz="5" w:space="0" w:color="D7E0E7"/>
          <w:insideH w:val="single" w:sz="5" w:space="0" w:color="D7E0E7"/>
          <w:insideV w:val="single" w:sz="5" w:space="0" w:color="D7E0E7"/>
        </w:tblBorders>
      </w:tblPr>
      <w:tblGrid>
        <w:gridCol w:w="4997"/>
        <w:gridCol w:w="4997"/>
      </w:tblGrid>
      <w:tr>
        <w:tc>
          <w:tcPr>
            <w:tcW w:type="dxa" w:w="1500"/>
            <w:shd w:fill="EDF6F4"/>
            <w:tcMar>
              <w:top w:w="120" w:type="dxa"/>
              <w:start w:w="150" w:type="dxa"/>
              <w:bottom w:w="120" w:type="dxa"/>
              <w:end w:w="150" w:type="dxa"/>
            </w:tcMar>
          </w:tcPr>
          <w:p>
            <w:pPr>
              <w:jc w:val="center"/>
            </w:pPr>
            <w:r>
              <w:rPr>
                <w:rFonts w:ascii="Aptos" w:hAnsi="Aptos" w:eastAsia="Aptos"/>
                <w:b/>
                <w:color w:val="0C4F49"/>
                <w:sz w:val="21"/>
              </w:rPr>
              <w:t>Time</w:t>
            </w:r>
          </w:p>
        </w:tc>
        <w:tc>
          <w:tcPr>
            <w:tcW w:type="dxa" w:w="7900"/>
            <w:shd w:fill="EDF6F4"/>
            <w:tcMar>
              <w:top w:w="120" w:type="dxa"/>
              <w:start w:w="150" w:type="dxa"/>
              <w:bottom w:w="120" w:type="dxa"/>
              <w:end w:w="150" w:type="dxa"/>
            </w:tcMar>
          </w:tcPr>
          <w:p>
            <w:pPr>
              <w:jc w:val="left"/>
            </w:pPr>
            <w:r>
              <w:rPr>
                <w:rFonts w:ascii="Aptos" w:hAnsi="Aptos" w:eastAsia="Aptos"/>
                <w:b/>
                <w:color w:val="0C4F49"/>
                <w:sz w:val="21"/>
              </w:rPr>
              <w:t>Voiceover</w:t>
            </w:r>
          </w:p>
        </w:tc>
      </w:tr>
      <w:tr>
        <w:tc>
          <w:tcPr>
            <w:tcW w:type="dxa" w:w="1500"/>
            <w:vAlign w:val="center"/>
            <w:tcMar>
              <w:top w:w="120" w:type="dxa"/>
              <w:start w:w="150" w:type="dxa"/>
              <w:bottom w:w="120" w:type="dxa"/>
              <w:end w:w="150" w:type="dxa"/>
            </w:tcMar>
          </w:tcPr>
          <w:p>
            <w:pPr>
              <w:jc w:val="center"/>
            </w:pPr>
            <w:r>
              <w:rPr>
                <w:rFonts w:ascii="Aptos" w:hAnsi="Aptos" w:eastAsia="Aptos"/>
                <w:b/>
                <w:color w:val="31519C"/>
                <w:sz w:val="20"/>
              </w:rPr>
              <w:t>0:00-0:15</w:t>
            </w:r>
          </w:p>
        </w:tc>
        <w:tc>
          <w:tcPr>
            <w:tcW w:type="dxa" w:w="7900"/>
            <w:vAlign w:val="top"/>
            <w:tcMar>
              <w:top w:w="120" w:type="dxa"/>
              <w:start w:w="150" w:type="dxa"/>
              <w:bottom w:w="120" w:type="dxa"/>
              <w:end w:w="150" w:type="dxa"/>
            </w:tcMar>
          </w:tcPr>
          <w:p>
            <w:pPr>
              <w:spacing w:line="269" w:lineRule="auto" w:after="0"/>
            </w:pPr>
            <w:r>
              <w:rPr>
                <w:rFonts w:ascii="Aptos" w:hAnsi="Aptos" w:eastAsia="Aptos"/>
                <w:color w:val="253242"/>
                <w:sz w:val="20"/>
              </w:rPr>
              <w:t>Hello everyone. This is DataInsight Agent, a CSV cleaning and analysis software agent. It shows the full agent loop: perceive input, decide what to do, act on the data, and remember the result.</w:t>
            </w:r>
          </w:p>
        </w:tc>
      </w:tr>
      <w:tr>
        <w:tc>
          <w:tcPr>
            <w:tcW w:type="dxa" w:w="1500"/>
            <w:vAlign w:val="center"/>
            <w:tcMar>
              <w:top w:w="120" w:type="dxa"/>
              <w:start w:w="150" w:type="dxa"/>
              <w:bottom w:w="120" w:type="dxa"/>
              <w:end w:w="150" w:type="dxa"/>
            </w:tcMar>
          </w:tcPr>
          <w:p>
            <w:pPr>
              <w:jc w:val="center"/>
            </w:pPr>
            <w:r>
              <w:rPr>
                <w:rFonts w:ascii="Aptos" w:hAnsi="Aptos" w:eastAsia="Aptos"/>
                <w:b/>
                <w:color w:val="31519C"/>
                <w:sz w:val="20"/>
              </w:rPr>
              <w:t>0:15-0:35</w:t>
            </w:r>
          </w:p>
        </w:tc>
        <w:tc>
          <w:tcPr>
            <w:tcW w:type="dxa" w:w="7900"/>
            <w:vAlign w:val="top"/>
            <w:tcMar>
              <w:top w:w="120" w:type="dxa"/>
              <w:start w:w="150" w:type="dxa"/>
              <w:bottom w:w="120" w:type="dxa"/>
              <w:end w:w="150" w:type="dxa"/>
            </w:tcMar>
          </w:tcPr>
          <w:p>
            <w:pPr>
              <w:spacing w:line="269" w:lineRule="auto" w:after="0"/>
            </w:pPr>
            <w:r>
              <w:rPr>
                <w:rFonts w:ascii="Aptos" w:hAnsi="Aptos" w:eastAsia="Aptos"/>
                <w:color w:val="253242"/>
                <w:sz w:val="20"/>
              </w:rPr>
              <w:t>I start by opening the local web app and clicking Load Sample. The sample sales dataset has missing values, a duplicate row, inconsistent category names, and a clear revenue outlier.</w:t>
            </w:r>
          </w:p>
        </w:tc>
      </w:tr>
      <w:tr>
        <w:tc>
          <w:tcPr>
            <w:tcW w:type="dxa" w:w="1500"/>
            <w:vAlign w:val="center"/>
            <w:tcMar>
              <w:top w:w="120" w:type="dxa"/>
              <w:start w:w="150" w:type="dxa"/>
              <w:bottom w:w="120" w:type="dxa"/>
              <w:end w:w="150" w:type="dxa"/>
            </w:tcMar>
          </w:tcPr>
          <w:p>
            <w:pPr>
              <w:jc w:val="center"/>
            </w:pPr>
            <w:r>
              <w:rPr>
                <w:rFonts w:ascii="Aptos" w:hAnsi="Aptos" w:eastAsia="Aptos"/>
                <w:b/>
                <w:color w:val="31519C"/>
                <w:sz w:val="20"/>
              </w:rPr>
              <w:t>0:35-0:55</w:t>
            </w:r>
          </w:p>
        </w:tc>
        <w:tc>
          <w:tcPr>
            <w:tcW w:type="dxa" w:w="7900"/>
            <w:vAlign w:val="top"/>
            <w:tcMar>
              <w:top w:w="120" w:type="dxa"/>
              <w:start w:w="150" w:type="dxa"/>
              <w:bottom w:w="120" w:type="dxa"/>
              <w:end w:w="150" w:type="dxa"/>
            </w:tcMar>
          </w:tcPr>
          <w:p>
            <w:pPr>
              <w:spacing w:line="269" w:lineRule="auto" w:after="0"/>
            </w:pPr>
            <w:r>
              <w:rPr>
                <w:rFonts w:ascii="Aptos" w:hAnsi="Aptos" w:eastAsia="Aptos"/>
                <w:color w:val="253242"/>
                <w:sz w:val="20"/>
              </w:rPr>
              <w:t>Next, I keep Balanced mode selected and click Run Agent. In the perception stage, the agent detects rows, columns, data types, missing values, outliers, and the starting data quality score.</w:t>
            </w:r>
          </w:p>
        </w:tc>
      </w:tr>
      <w:tr>
        <w:tc>
          <w:tcPr>
            <w:tcW w:type="dxa" w:w="1500"/>
            <w:vAlign w:val="center"/>
            <w:tcMar>
              <w:top w:w="120" w:type="dxa"/>
              <w:start w:w="150" w:type="dxa"/>
              <w:bottom w:w="120" w:type="dxa"/>
              <w:end w:w="150" w:type="dxa"/>
            </w:tcMar>
          </w:tcPr>
          <w:p>
            <w:pPr>
              <w:jc w:val="center"/>
            </w:pPr>
            <w:r>
              <w:rPr>
                <w:rFonts w:ascii="Aptos" w:hAnsi="Aptos" w:eastAsia="Aptos"/>
                <w:b/>
                <w:color w:val="31519C"/>
                <w:sz w:val="20"/>
              </w:rPr>
              <w:t>0:55-1:15</w:t>
            </w:r>
          </w:p>
        </w:tc>
        <w:tc>
          <w:tcPr>
            <w:tcW w:type="dxa" w:w="7900"/>
            <w:vAlign w:val="top"/>
            <w:tcMar>
              <w:top w:w="120" w:type="dxa"/>
              <w:start w:w="150" w:type="dxa"/>
              <w:bottom w:w="120" w:type="dxa"/>
              <w:end w:w="150" w:type="dxa"/>
            </w:tcMar>
          </w:tcPr>
          <w:p>
            <w:pPr>
              <w:spacing w:line="269" w:lineRule="auto" w:after="0"/>
            </w:pPr>
            <w:r>
              <w:rPr>
                <w:rFonts w:ascii="Aptos" w:hAnsi="Aptos" w:eastAsia="Aptos"/>
                <w:color w:val="253242"/>
                <w:sz w:val="20"/>
              </w:rPr>
              <w:t>In the decision stage, the agent builds a cleaning plan. Balanced mode removes duplicates, fills missing values, standardizes Region and Product, and flags outliers instead of directly changing them.</w:t>
            </w:r>
          </w:p>
        </w:tc>
      </w:tr>
      <w:tr>
        <w:tc>
          <w:tcPr>
            <w:tcW w:type="dxa" w:w="1500"/>
            <w:vAlign w:val="center"/>
            <w:tcMar>
              <w:top w:w="120" w:type="dxa"/>
              <w:start w:w="150" w:type="dxa"/>
              <w:bottom w:w="120" w:type="dxa"/>
              <w:end w:w="150" w:type="dxa"/>
            </w:tcMar>
          </w:tcPr>
          <w:p>
            <w:pPr>
              <w:jc w:val="center"/>
            </w:pPr>
            <w:r>
              <w:rPr>
                <w:rFonts w:ascii="Aptos" w:hAnsi="Aptos" w:eastAsia="Aptos"/>
                <w:b/>
                <w:color w:val="31519C"/>
                <w:sz w:val="20"/>
              </w:rPr>
              <w:t>1:15-1:35</w:t>
            </w:r>
          </w:p>
        </w:tc>
        <w:tc>
          <w:tcPr>
            <w:tcW w:type="dxa" w:w="7900"/>
            <w:vAlign w:val="top"/>
            <w:tcMar>
              <w:top w:w="120" w:type="dxa"/>
              <w:start w:w="150" w:type="dxa"/>
              <w:bottom w:w="120" w:type="dxa"/>
              <w:end w:w="150" w:type="dxa"/>
            </w:tcMar>
          </w:tcPr>
          <w:p>
            <w:pPr>
              <w:spacing w:line="269" w:lineRule="auto" w:after="0"/>
            </w:pPr>
            <w:r>
              <w:rPr>
                <w:rFonts w:ascii="Aptos" w:hAnsi="Aptos" w:eastAsia="Aptos"/>
                <w:color w:val="253242"/>
                <w:sz w:val="20"/>
              </w:rPr>
              <w:t>Then the agent acts on the dataset. The quality score improves from 94 to 98, and the action list shows each cleaning step, including the duplicate removal and Revenue outlier review flag.</w:t>
            </w:r>
          </w:p>
        </w:tc>
      </w:tr>
      <w:tr>
        <w:tc>
          <w:tcPr>
            <w:tcW w:type="dxa" w:w="1500"/>
            <w:vAlign w:val="center"/>
            <w:tcMar>
              <w:top w:w="120" w:type="dxa"/>
              <w:start w:w="150" w:type="dxa"/>
              <w:bottom w:w="120" w:type="dxa"/>
              <w:end w:w="150" w:type="dxa"/>
            </w:tcMar>
          </w:tcPr>
          <w:p>
            <w:pPr>
              <w:jc w:val="center"/>
            </w:pPr>
            <w:r>
              <w:rPr>
                <w:rFonts w:ascii="Aptos" w:hAnsi="Aptos" w:eastAsia="Aptos"/>
                <w:b/>
                <w:color w:val="31519C"/>
                <w:sz w:val="20"/>
              </w:rPr>
              <w:t>1:35-1:50</w:t>
            </w:r>
          </w:p>
        </w:tc>
        <w:tc>
          <w:tcPr>
            <w:tcW w:type="dxa" w:w="7900"/>
            <w:vAlign w:val="top"/>
            <w:tcMar>
              <w:top w:w="120" w:type="dxa"/>
              <w:start w:w="150" w:type="dxa"/>
              <w:bottom w:w="120" w:type="dxa"/>
              <w:end w:w="150" w:type="dxa"/>
            </w:tcMar>
          </w:tcPr>
          <w:p>
            <w:pPr>
              <w:spacing w:line="269" w:lineRule="auto" w:after="0"/>
            </w:pPr>
            <w:r>
              <w:rPr>
                <w:rFonts w:ascii="Aptos" w:hAnsi="Aptos" w:eastAsia="Aptos"/>
                <w:color w:val="253242"/>
                <w:sz w:val="20"/>
              </w:rPr>
              <w:t>In the analysis section, the agent creates multiple charts: bar, donut, histogram, line, and scatter. I can click Expand to inspect a larger chart preview.</w:t>
            </w:r>
          </w:p>
        </w:tc>
      </w:tr>
      <w:tr>
        <w:tc>
          <w:tcPr>
            <w:tcW w:type="dxa" w:w="1500"/>
            <w:vAlign w:val="center"/>
            <w:tcMar>
              <w:top w:w="120" w:type="dxa"/>
              <w:start w:w="150" w:type="dxa"/>
              <w:bottom w:w="120" w:type="dxa"/>
              <w:end w:w="150" w:type="dxa"/>
            </w:tcMar>
          </w:tcPr>
          <w:p>
            <w:pPr>
              <w:jc w:val="center"/>
            </w:pPr>
            <w:r>
              <w:rPr>
                <w:rFonts w:ascii="Aptos" w:hAnsi="Aptos" w:eastAsia="Aptos"/>
                <w:b/>
                <w:color w:val="31519C"/>
                <w:sz w:val="20"/>
              </w:rPr>
              <w:t>1:50-2:00</w:t>
            </w:r>
          </w:p>
        </w:tc>
        <w:tc>
          <w:tcPr>
            <w:tcW w:type="dxa" w:w="7900"/>
            <w:vAlign w:val="top"/>
            <w:tcMar>
              <w:top w:w="120" w:type="dxa"/>
              <w:start w:w="150" w:type="dxa"/>
              <w:bottom w:w="120" w:type="dxa"/>
              <w:end w:w="150" w:type="dxa"/>
            </w:tcMar>
          </w:tcPr>
          <w:p>
            <w:pPr>
              <w:spacing w:line="269" w:lineRule="auto" w:after="0"/>
            </w:pPr>
            <w:r>
              <w:rPr>
                <w:rFonts w:ascii="Aptos" w:hAnsi="Aptos" w:eastAsia="Aptos"/>
                <w:color w:val="253242"/>
                <w:sz w:val="20"/>
              </w:rPr>
              <w:t>Finally, I can export the cleaned CSV and review recent checkpoints in Memory. Switching to Aggressive mode changes the decision strategy, showing that the agent adapts its actions based on risk.</w:t>
            </w:r>
          </w:p>
        </w:tc>
      </w:tr>
    </w:tbl>
    <w:sectPr w:rsidR="00FC693F" w:rsidRPr="0006063C" w:rsidSect="00034616">
      <w:pgSz w:w="12240" w:h="15840"/>
      <w:pgMar w:top="1123" w:right="1123" w:bottom="1123"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60"/>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