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the synthetic benchmark, my tuned CET model (trial 16) outperformed CET at the paper’s default settings on calibration, with a Brier score of 0.226 against 0.228 and an expected calibration error of 0.060 against 0.077, while its AUC stayed level at 0.668 against 0.669. I believe the gain comes from two changes, a smaller and more regularized network that fit the five feature task without overfitting, and a false positive rate setting of 0.8 instead of 0.7, which in my sweep consistently reduced how much the model overpredicted that an event would occur. One aspect that stands out is that the improvement showed up in the soft labels as well, since their Brier score against the true occurrence dropped on both events across all three seeds, including two seeds that were not used for tuning. Moreover, the full pipeline runs in about 12 minutes per seed, compared with 31 for the larger trial 3 configuration. I have not isolated which change matters most, so these explanations are my best interpretation and not a proven result. In conclusion, the tuned model is a modest calibration gain over the original settings, it did not improve ranking, and I would need to repeat the tuning on MIMIC using validation likelihood alone before claiming it carries over.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