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Multinacionales y comercio en América Latina: revisión interna de los tres documentos</w:t>
      </w:r>
    </w:p>
    <w:p>
      <w:pPr>
        <w:spacing w:after="80"/>
        <w:jc w:val="center"/>
      </w:pPr>
      <w:r>
        <w:rPr>
          <w:sz w:val="24"/>
          <w:szCs w:val="24"/>
        </w:rPr>
        <w:t xml:space="preserve">Qué figuras, tablas y regresiones cuentan una historia que vale la pena llevar al working paper</w:t>
      </w:r>
    </w:p>
    <w:p>
      <w:pPr>
        <w:spacing w:after="240"/>
        <w:jc w:val="center"/>
      </w:pPr>
      <w:r>
        <w:rPr>
          <w:i/>
          <w:iCs/>
          <w:sz w:val="20"/>
          <w:szCs w:val="20"/>
        </w:rPr>
        <w:t xml:space="preserve">Borrador para discusión entre Ignacio, Gabriel y Sebastián, antes de la revisión con Christian. 14 de septiembre de 2026.</w:t>
      </w:r>
    </w:p>
    <w:p>
      <w:pPr>
        <w:spacing w:after="120"/>
      </w:pPr>
      <w:r>
        <w:t xml:space="preserve">Los tres documentos (WP_total, 36 pp.; WP_sectors, 174 pp.; WP_countries, 55 pp.; versión 2026-09-14) contienen todo lo que pidió Christian en su agenda (ítems 1a–1f y 2). Son demasiado extensos para llevárselos tal cual. Este texto recorre cada hecho estilizado, dice qué muestra cada exhibit, si la relación es interesante para el working paper y por qué, y termina con una propuesta de conjunto mínimo. La numeración de figuras y tablas es la de WP_total (2026-09-14); los exhibits de los otros dos documentos se citan por sector o por país. Cada exhibit lleva un veredicto: MOSTRAR (entra al borrador del WP), APOYO / APÉNDICE (sirve de respaldo o de nota al pie, no como figura principal) o NO MOSTRAR (no aporta o confunde).</w:t>
      </w:r>
    </w:p>
    <w:p>
      <w:pPr>
        <w:spacing w:after="120"/>
      </w:pPr>
      <w:r>
        <w:t xml:space="preserve">Convenciones de los datos, para leer bien los números: matched = la firma está en Orbis o D&amp;B; MNE doméstica = casa matriz en el país exportador; MNE extranjera = matched menos doméstica (las firmas matched sin país de la matriz cuentan como extranjeras); nueve orígenes (Ecuador excluido); ponderado por valor; 2006–2022 agregado. Sectores: agricultura HS 01–24, minería y combustibles HS 25–27 y 71, manufactura HS 28–97 sin 71, resto HS 98–99 y códigos no clasificables (US$ 6.800 millones, 0,3 % del total; no se analiza aquí).</w:t>
      </w:r>
    </w:p>
    <w:p>
      <w:pPr>
        <w:pStyle w:val="Heading1"/>
        <w:spacing w:after="120" w:before="360"/>
      </w:pPr>
      <w:r>
        <w:t xml:space="preserve">1. Generalidades</w:t>
      </w:r>
    </w:p>
    <w:p>
      <w:pPr>
        <w:pStyle w:val="Heading2"/>
        <w:spacing w:after="100" w:before="240"/>
      </w:pPr>
      <w:r>
        <w:t xml:space="preserve">1.1 ¿Se cumplen los seis hechos estilizados por sector?</w:t>
      </w:r>
    </w:p>
    <w:p>
      <w:pPr>
        <w:spacing w:after="120"/>
      </w:pPr>
      <w:r>
        <w:t xml:space="preserve">Total exportado 2006–2022: US$ 2.394 mil millones; 46,3 % lo exportan MNE extranjeras y 14,1 % MNE domésticas (60,4 % MNE). Por sector, agricultura US$ 788 mm (38,1 % extranjera, 9,5 % doméstica), minería y combustibles US$ 810 mm (49,2 % y 24,5 %) y manufactura US$ 788 mm (51,6 % y 8,0 %).</w:t>
      </w:r>
    </w:p>
    <w:p>
      <w:pPr>
        <w:pStyle w:val="ListParagraph"/>
        <w:numPr>
          <w:ilvl w:val="0"/>
          <w:numId w:val="2"/>
        </w:numPr>
        <w:spacing w:after="60"/>
      </w:pPr>
      <w:r>
        <w:rPr>
          <w:b/>
          <w:bCs/>
        </w:rPr>
        <w:t xml:space="preserve">Hecho 1 (las MNE explican una parte grande de las exportaciones; extranjeras ≫ domésticas). </w:t>
      </w:r>
      <w:r>
        <w:t xml:space="preserve">Se cumple en el total y en los tres sectores: en los nueve orígenes las MNE mueven entre 47 % (PER) y 74 % (COL) del valor exportado. La segunda parte del hecho (extranjeras muy por encima de domésticas) se cumple en todos los orígenes menos Colombia (35 % extranjera vs 39 % doméstica) y se debilita en Chile (48 vs 14). En minería la excepción colombiana es enorme (30 % extranjera vs 55 % doméstica: petróleo) y en agricultura Chile queda en 30 vs 19. La lectura correcta es que la presencia doméstica relevante es un fenómeno de recursos naturales de dos países (petróleo colombiano, cobre y celulosa chilenos), no un rasgo regional.</w:t>
      </w:r>
    </w:p>
    <w:p>
      <w:pPr>
        <w:pStyle w:val="ListParagraph"/>
        <w:numPr>
          <w:ilvl w:val="0"/>
          <w:numId w:val="2"/>
        </w:numPr>
        <w:spacing w:after="60"/>
      </w:pPr>
      <w:r>
        <w:rPr>
          <w:b/>
          <w:bCs/>
        </w:rPr>
        <w:t xml:space="preserve">Hecho 2 (extranjeras en productos complejos, domésticas en primarios). </w:t>
      </w:r>
      <w:r>
        <w:t xml:space="preserve">Se cumple para el total y con más claridad dentro de manufactura (participación extranjera por quintil de PCI: 0,39 → 0,68); en agricultura es ruidoso (0,29; 0,49; 0,38; 0,42; 0,55: el extremo inferior y el superior van en la dirección correcta, el medio no) y en minería no se cumple (hay 208 productos y los quintiles no ordenan nada). La mitad doméstica del hecho (domésticas en bienes primarios) es un hecho ENTRE sectores, no dentro de ellos: la participación doméstica cae con la complejidad en el total (0,18 → 0,07) porque petróleo y cobre están en el quintil 1, pero dentro de manufactura las domésticas no están en lo menos complejo (0,04 en Q1, 0,12 en Q2–Q3, 0,07 en Q5). La regresión con efectos fijos (Tabla 6) lo confirma: el coeficiente del PCI sobre la participación doméstica es −0,06 en el total, −0,24 en minería, +0,03 en manufactura y cero en agricultura.</w:t>
      </w:r>
    </w:p>
    <w:p>
      <w:pPr>
        <w:pStyle w:val="ListParagraph"/>
        <w:numPr>
          <w:ilvl w:val="0"/>
          <w:numId w:val="2"/>
        </w:numPr>
        <w:spacing w:after="60"/>
      </w:pPr>
      <w:r>
        <w:rPr>
          <w:b/>
          <w:bCs/>
        </w:rPr>
        <w:t xml:space="preserve">Hecho 3 (pocos países de origen de las matrices dominan). </w:t>
      </w:r>
      <w:r>
        <w:t xml:space="preserve">Se cumple en todos los sectores y es aún más fuerte por sector que en el total. Total: USA 23,3 %, GBR 19,3 %, CAN 7,8 % (los tres = 50 %; los diez primeros = 77 %). Agricultura: USA 24 %, CHE 11 %, NLD 9,5 %, LIE 7,6 % (las casas de comercio de granos y sus jurisdicciones de tenencia). Manufactura: USA 25 %, GBR 14 %, DEU 9 %, JPN 7 %. Minería: GBR 36 %, USA 21 %, CAN 15,5 % (los tres = 73 %). Ojo con la base: la nota de julio tenía país de la matriz para la mitad del valor extranjero; la base actual lo tiene para el 92 %, y por eso el ranking cambia (en la nota GBR iba primero). El WP debe decir qué base usa.</w:t>
      </w:r>
    </w:p>
    <w:p>
      <w:pPr>
        <w:pStyle w:val="ListParagraph"/>
        <w:numPr>
          <w:ilvl w:val="0"/>
          <w:numId w:val="2"/>
        </w:numPr>
        <w:spacing w:after="60"/>
      </w:pPr>
      <w:r>
        <w:rPr>
          <w:b/>
          <w:bCs/>
        </w:rPr>
        <w:t xml:space="preserve">Hecho 4 (pocos grupos grandes concentran el valor). </w:t>
      </w:r>
      <w:r>
        <w:t xml:space="preserve">Se cumple en todos: las matrices con más de 100 filiales son 9 % de las matrices y 56 % del valor extranjero en el total; 65 % en manufactura, 51 % en minería, 50 % en agricultura. El efecto de agrupar filiales por matriz sobre la concentración por producto es modesto (HHI medio 0,19 → 0,22) y mayor en minería (0,18 → 0,23).</w:t>
      </w:r>
    </w:p>
    <w:p>
      <w:pPr>
        <w:pStyle w:val="ListParagraph"/>
        <w:numPr>
          <w:ilvl w:val="0"/>
          <w:numId w:val="2"/>
        </w:numPr>
        <w:spacing w:after="60"/>
      </w:pPr>
      <w:r>
        <w:rPr>
          <w:b/>
          <w:bCs/>
        </w:rPr>
        <w:t xml:space="preserve">Hecho 5 (más presencia de MNE, más comercio). </w:t>
      </w:r>
      <w:r>
        <w:t xml:space="preserve">Se cumple en todos los sectores y la descomposición nueva agrega algo: la elasticidad de las exportaciones de la celda origen-destino-producto-año al número de MNE es mucho mayor para las extranjeras (1,21) que para las domésticas (0,44), y lo mismo ocurre con las exportaciones de las firmas NO multinacionales de la celda (1,13 vs 0,47). El patrón se repite en agricultura (1,30 vs 0,52), manufactura (1,16 vs 0,38) y minería (1,13 vs 0,32, este último no significativo). En el margen extensivo (presencia sí/no) extranjeras y domésticas se parecen (1,50 vs 1,47): lo que distingue a las extranjeras es la intensidad, no la mera presencia.</w:t>
      </w:r>
    </w:p>
    <w:p>
      <w:pPr>
        <w:pStyle w:val="ListParagraph"/>
        <w:numPr>
          <w:ilvl w:val="0"/>
          <w:numId w:val="2"/>
        </w:numPr>
        <w:spacing w:after="60"/>
      </w:pPr>
      <w:r>
        <w:rPr>
          <w:b/>
          <w:bCs/>
        </w:rPr>
        <w:t xml:space="preserve">Hecho 6 (la distancia frena menos a las MNE). </w:t>
      </w:r>
      <w:r>
        <w:t xml:space="preserve">Se cumple en el total, agricultura y manufactura, con atenuación mayor para las extranjeras que para las domésticas (total 0,049 vs 0,032 sobre una elasticidad base de −0,16; agricultura 0,037 vs 0,019; manufactura 0,052 vs 0,039). En minería la distancia casi no importa para nadie (elasticidad base −0,09, no significativa) y la atenuación doméstica supera a la extranjera (0,071 vs 0,057): son commodities que van a donde está la demanda.</w:t>
      </w:r>
    </w:p>
    <w:p>
      <w:pPr>
        <w:pStyle w:val="Heading2"/>
        <w:spacing w:after="100" w:before="240"/>
      </w:pPr>
      <w:r>
        <w:t xml:space="preserve">1.2 La historia de las multinacionales de Estados Unidos</w:t>
      </w:r>
    </w:p>
    <w:p>
      <w:pPr>
        <w:spacing w:after="120"/>
      </w:pPr>
      <w:r>
        <w:t xml:space="preserve">Es el hilo más sólido que sale de los tres documentos y conviene construir el WP alrededor de él. Los números:</w:t>
      </w:r>
    </w:p>
    <w:p>
      <w:pPr>
        <w:pStyle w:val="ListParagraph"/>
        <w:numPr>
          <w:ilvl w:val="0"/>
          <w:numId w:val="2"/>
        </w:numPr>
        <w:spacing w:after="60"/>
      </w:pPr>
      <w:r>
        <w:t xml:space="preserve">Las MNE con matriz en EE. UU. exportan US$ 239 mm desde los nueve países: 23,3 % del valor extranjero con matriz conocida y 10 % de todas las exportaciones. Son el primer inversor en agricultura (24 % del valor extranjero), manufactura (25 %) y el segundo en minería (21 %, detrás de GBR).</w:t>
      </w:r>
    </w:p>
    <w:p>
      <w:pPr>
        <w:pStyle w:val="ListParagraph"/>
        <w:numPr>
          <w:ilvl w:val="0"/>
          <w:numId w:val="2"/>
        </w:numPr>
        <w:spacing w:after="60"/>
      </w:pPr>
      <w:r>
        <w:t xml:space="preserve">Su peso en las exportaciones totales de cada país es muy desigual: Costa Rica 30 %, Paraguay 30 %, El Salvador 28 %, República Dominicana 17 %, Colombia 12 %, Argentina 8 %, Perú 8 %, Uruguay 5 %, Chile 3 % (Figura 2). Por sector: manufactura de Costa Rica 42 %, El Salvador 35 %, República Dominicana 26 %; agricultura de Paraguay 35 %; minería de Colombia 14 % y Perú 11 %.</w:t>
      </w:r>
    </w:p>
    <w:p>
      <w:pPr>
        <w:pStyle w:val="ListParagraph"/>
        <w:numPr>
          <w:ilvl w:val="0"/>
          <w:numId w:val="2"/>
        </w:numPr>
        <w:spacing w:after="60"/>
      </w:pPr>
      <w:r>
        <w:t xml:space="preserve">Lo distintivo de las MNE de EE. UU. es a dónde exportan: 22 % de lo que exportan desde ALC va a Estados Unidos (Figura 18). Ningún otro gran inversor exporta a su casa: GBR 0,6 %, LIE 0 %, CHE 0,3 %, NLD 2 %, DEU 8 %, JPN 9 %. Solo CAN (20 %: oro) y BRA (19 %) se acercan. El promedio de todas las MNE extranjeras es 9 %: la MNE extranjera típica en ALC es una plataforma de exportación hacia terceros mercados, y la de EE. UU. es la excepción.</w:t>
      </w:r>
    </w:p>
    <w:p>
      <w:pPr>
        <w:pStyle w:val="ListParagraph"/>
        <w:numPr>
          <w:ilvl w:val="0"/>
          <w:numId w:val="2"/>
        </w:numPr>
        <w:spacing w:after="60"/>
      </w:pPr>
      <w:r>
        <w:t xml:space="preserve">Esa excepción está en manufactura y en Centroamérica y el Caribe. En manufactura, las MNE de EE. UU. mandan a casa el 41 % de sus exportaciones (agricultura 7 %, minería 12,5 %). Por origen, la parte de las exportaciones de las MNE de EE. UU. que va a Estados Unidos es 70 % en República Dominicana, 67 % en El Salvador, 47 % en Costa Rica, 31 % en Chile, 15 % en Colombia, 9 % en Perú, 4 % en Argentina y 0 % en Paraguay y Uruguay. Es decir: en el Cono Sur las MNE de EE. UU. son comercializadoras de granos (Argentina US$ 24,6 mm en agricultura, Paraguay US$ 19,6 mm) que venden a China y Europa; en Centroamérica y el Caribe son fábricas que abastecen al mercado estadounidense.</w:t>
      </w:r>
    </w:p>
    <w:p>
      <w:pPr>
        <w:pStyle w:val="ListParagraph"/>
        <w:numPr>
          <w:ilvl w:val="0"/>
          <w:numId w:val="2"/>
        </w:numPr>
        <w:spacing w:after="60"/>
      </w:pPr>
      <w:r>
        <w:t xml:space="preserve">Qué mandan a casa: textiles y confección (27 % del valor que va a EE. UU.; el 76 % de lo que exportan en esa sección va a EE. UU.), instrumentos médicos y de precisión (19 %; 72 % a casa), maquinaria y eléctricos (10 %; 36 %), plásticos y caucho (6 %; 35 %). Los productos concretos: camisetas de algodón (US$ 5,9 mm; las MNE de EE. UU. mueven 52 % de lo que ALC exporta de ese producto a EE. UU.), catéteres y cánulas (US$ 5,1 mm; 83 %), instrumentos médicos (US$ 3,6 mm; 43 %), circuitos integrados (US$ 2,1 mm; 95 %), neumáticos (US$ 1,8 mm; 63 %), ropa interior y medias (más de 85 %).</w:t>
      </w:r>
    </w:p>
    <w:p>
      <w:pPr>
        <w:pStyle w:val="ListParagraph"/>
        <w:numPr>
          <w:ilvl w:val="0"/>
          <w:numId w:val="2"/>
        </w:numPr>
        <w:spacing w:after="60"/>
      </w:pPr>
      <w:r>
        <w:t xml:space="preserve">Mirado desde el destino: de los US$ 440 mm que los nueve países exportan a Estados Unidos, las MNE de EE. UU. mueven 12 %, otras MNE extranjeras 23 %, las domésticas 24 % (petróleo colombiano) y las firmas locales 40 %. Pero en manufactura las MNE de EE. UU. mueven 25 % de lo que va a EE. UU., y por país 54 % en Costa Rica, 47 % en El Salvador y 31 % en República Dominicana. Es la evidencia más directa de integración vertical / nearshoring que tenemos. Este cálculo no está en los documentos (es una tabla nueva que salió al preparar esta revisión); propongo agregarlo como figura.</w:t>
      </w:r>
    </w:p>
    <w:p>
      <w:pPr>
        <w:pStyle w:val="ListParagraph"/>
        <w:numPr>
          <w:ilvl w:val="0"/>
          <w:numId w:val="2"/>
        </w:numPr>
        <w:spacing w:after="60"/>
      </w:pPr>
      <w:r>
        <w:t xml:space="preserve">El contraste sirve también para el resto de la historia: de los US$ 332 mm que ALC exporta a China, el 44 % lo mueven MNE extranjeras no estadounidenses (GBR, LIE, PAN, AUS: mineras) y las MNE con matriz china el 0,3 %. China compra a través de multinacionales occidentales, no de las propias. Hacia la UE-27, las MNE con matriz europea mueven 8 % y las de EE. UU. otro 9 %.</w:t>
      </w:r>
    </w:p>
    <w:p>
      <w:pPr>
        <w:pStyle w:val="Heading2"/>
        <w:spacing w:after="100" w:before="240"/>
      </w:pPr>
      <w:r>
        <w:t xml:space="preserve">1.3 Las relaciones más interesantes para el WP, en orden</w:t>
      </w:r>
    </w:p>
    <w:p>
      <w:pPr>
        <w:pStyle w:val="ListParagraph"/>
        <w:numPr>
          <w:ilvl w:val="0"/>
          <w:numId w:val="2"/>
        </w:numPr>
        <w:spacing w:after="60"/>
      </w:pPr>
      <w:r>
        <w:rPr>
          <w:b/>
          <w:bCs/>
        </w:rPr>
        <w:t xml:space="preserve">1. </w:t>
      </w:r>
      <w:r>
        <w:t xml:space="preserve">La nacionalidad de la matriz predice el destino solo para EE. UU. (y CAN/BRA): el hecho 3 no es solo "pocos países", sino "pocos países con estrategias distintas": GBR y LIE (cobre, carbón) venden 36 % y 25 % a China; DEU, JPN y NLD (autos, químicos) venden 32–45 % a Brasil desde Argentina (plataforma Mercosur); EE. UU. vende 22 % a EE. UU. (y 41 % en manufactura). Tres modelos de multinacional en un solo cuadro (Tabla 12 y Figura 18).</w:t>
      </w:r>
    </w:p>
    <w:p>
      <w:pPr>
        <w:pStyle w:val="ListParagraph"/>
        <w:numPr>
          <w:ilvl w:val="0"/>
          <w:numId w:val="2"/>
        </w:numPr>
        <w:spacing w:after="60"/>
      </w:pPr>
      <w:r>
        <w:rPr>
          <w:b/>
          <w:bCs/>
        </w:rPr>
        <w:t xml:space="preserve">2. </w:t>
      </w:r>
      <w:r>
        <w:t xml:space="preserve">El hecho 5 descompuesto: la asociación entre presencia de MNE y exportaciones de la celda, y en particular las exportaciones de las firmas locales, es tres veces mayor con MNE extranjeras que con domésticas, y es robusta a los tres sectores (Tabla 22 y sus versiones sectoriales).</w:t>
      </w:r>
    </w:p>
    <w:p>
      <w:pPr>
        <w:pStyle w:val="ListParagraph"/>
        <w:numPr>
          <w:ilvl w:val="0"/>
          <w:numId w:val="2"/>
        </w:numPr>
        <w:spacing w:after="60"/>
      </w:pPr>
      <w:r>
        <w:rPr>
          <w:b/>
          <w:bCs/>
        </w:rPr>
        <w:t xml:space="preserve">3. </w:t>
      </w:r>
      <w:r>
        <w:t xml:space="preserve">El hecho 2 en dos clases de Rauch (Tabla 4 / Figura 13, nueva): las extranjeras tienen 56 % de los productos diferenciados y 43 % de los no diferenciados; las domésticas 6 % y 17 %. Dentro de manufactura 60 % vs 44 % (domésticas 5 % vs 10 %). Es la forma más limpia y más fácil de contar del hecho 2; en agricultura no hay gradiente (41 % vs 38 %).</w:t>
      </w:r>
    </w:p>
    <w:p>
      <w:pPr>
        <w:pStyle w:val="ListParagraph"/>
        <w:numPr>
          <w:ilvl w:val="0"/>
          <w:numId w:val="2"/>
        </w:numPr>
        <w:spacing w:after="60"/>
      </w:pPr>
      <w:r>
        <w:rPr>
          <w:b/>
          <w:bCs/>
        </w:rPr>
        <w:t xml:space="preserve">4. </w:t>
      </w:r>
      <w:r>
        <w:t xml:space="preserve">El hecho 6 por tipo de MNE y sector (Tabla 25 y sectoriales): atenuación extranjera &gt; doméstica en agricultura y manufactura; en minería la distancia no frena a nadie. Y las MNE presentes en el destino a través de la casa matriz son las que menos sufren la distancia (0,064 vs 0,048).</w:t>
      </w:r>
    </w:p>
    <w:p>
      <w:pPr>
        <w:pStyle w:val="ListParagraph"/>
        <w:numPr>
          <w:ilvl w:val="0"/>
          <w:numId w:val="2"/>
        </w:numPr>
        <w:spacing w:after="60"/>
      </w:pPr>
      <w:r>
        <w:rPr>
          <w:b/>
          <w:bCs/>
        </w:rPr>
        <w:t xml:space="preserve">5. </w:t>
      </w:r>
      <w:r>
        <w:t xml:space="preserve">La composición por matriz de las Figuras 1 a 3 (Figuras 2, 6, 7): EE. UU. domina Centroamérica, GBR domina Chile y Perú, CAN domina República Dominicana; en el quintil superior de complejidad aparecen DEU y JPN (autos) y en alta tecnología EE. UU. tiene 22 % de TODO el valor exportado (41 % del valor extranjero).</w:t>
      </w:r>
    </w:p>
    <w:p>
      <w:pPr>
        <w:pStyle w:val="ListParagraph"/>
        <w:numPr>
          <w:ilvl w:val="0"/>
          <w:numId w:val="2"/>
        </w:numPr>
        <w:spacing w:after="60"/>
      </w:pPr>
      <w:r>
        <w:rPr>
          <w:b/>
          <w:bCs/>
        </w:rPr>
        <w:t xml:space="preserve">6. </w:t>
      </w:r>
      <w:r>
        <w:t xml:space="preserve">Los productos (Figuras 21–22, Tabla 26): 15 productos HS6 son la mitad de las exportaciones de las MNE extranjeras; el mapa matriz-producto es nítido (GBR cobre y carbón, CAN oro, USA soja, maíz y camisetas, DEU camiones, CHE torta de soja) y los productos con dominio doméstico son petróleo crudo (75 %), carbonato de litio (65 %) y celulosa.</w:t>
      </w:r>
    </w:p>
    <w:p>
      <w:pPr>
        <w:pStyle w:val="Heading2"/>
        <w:spacing w:after="100" w:before="240"/>
      </w:pPr>
      <w:r>
        <w:t xml:space="preserve">1.4 Lo que no aporta o puede confundir</w:t>
      </w:r>
    </w:p>
    <w:p>
      <w:pPr>
        <w:pStyle w:val="ListParagraph"/>
        <w:numPr>
          <w:ilvl w:val="0"/>
          <w:numId w:val="2"/>
        </w:numPr>
        <w:spacing w:after="60"/>
      </w:pPr>
      <w:r>
        <w:t xml:space="preserve">Las elasticidades de sustitución de Fontagné–Guimbard–Orefice como medida de sofisticación. El signo no es robusto: en el total la participación extranjera sube con |σ| (coeficiente +0,034), en agricultura baja (−0,050), en manufactura es cero (+0,003 n.s.) y en minería sube (+0,12). El resultado del total lo genera minería (commodities muy sustituibles y dominados por extranjeras). Dentro de agricultura y manufactura la lectura es la contraria a la del total y es coherente con Rauch: las extranjeras están en lo menos sustituible. Recomendación: no llevar FGO como figura principal; si se usa, por sector y en el apéndice. Lo mismo vale para Broda–Weinstein, upstreamness, escalera de calidad y RHCI: ninguno ordena los quintiles de forma monótona (Tabla 1 y Figura 8).</w:t>
      </w:r>
    </w:p>
    <w:p>
      <w:pPr>
        <w:pStyle w:val="ListParagraph"/>
        <w:numPr>
          <w:ilvl w:val="0"/>
          <w:numId w:val="2"/>
        </w:numPr>
        <w:spacing w:after="60"/>
      </w:pPr>
      <w:r>
        <w:t xml:space="preserve">Grupos vs filiales dentro de la celda (Tablas 18 y 19): en el 99 % de las celdas cada grupo exporta a través de una sola filial, así que contar grupos o contar firmas da coeficientes idénticos (2,07 vs 2,07). Es un resultado nulo útil para una nota al pie ("la cantidad de MNE no depende de cómo se cuente"), no para una tabla.</w:t>
      </w:r>
    </w:p>
    <w:p>
      <w:pPr>
        <w:pStyle w:val="ListParagraph"/>
        <w:numPr>
          <w:ilvl w:val="0"/>
          <w:numId w:val="2"/>
        </w:numPr>
        <w:spacing w:after="60"/>
      </w:pPr>
      <w:r>
        <w:t xml:space="preserve">Las figuras de distribución completa (histogramas, Figuras 10–12), la tabla de correlaciones (Tabla 2), los mapas de calor región × región (Figura 15), las tablas de porcentaje por columna y las tablas de números detrás de las figuras (Tablas 36–39): material de apéndice o de respaldo, no de texto.</w:t>
      </w:r>
    </w:p>
    <w:p>
      <w:pPr>
        <w:pStyle w:val="ListParagraph"/>
        <w:numPr>
          <w:ilvl w:val="0"/>
          <w:numId w:val="2"/>
        </w:numPr>
        <w:spacing w:after="60"/>
      </w:pPr>
      <w:r>
        <w:t xml:space="preserve">El sector Resto (US$ 6,8 mm; 0,3 %): ninguna figura ni tabla. Sirve solo para decir que las cuentas cierran y que servicios no están en aduanas.</w:t>
      </w:r>
    </w:p>
    <w:p>
      <w:pPr>
        <w:pStyle w:val="ListParagraph"/>
        <w:numPr>
          <w:ilvl w:val="0"/>
          <w:numId w:val="2"/>
        </w:numPr>
        <w:spacing w:after="60"/>
      </w:pPr>
      <w:r>
        <w:t xml:space="preserve">Las descomposiciones "a través de la casa matriz vs no" en minería y resto: quedan en blanco o con muestras de 100 celdas. No mostrar.</w:t>
      </w:r>
    </w:p>
    <w:p>
      <w:pPr>
        <w:pStyle w:val="Heading2"/>
        <w:spacing w:after="100" w:before="240"/>
      </w:pPr>
      <w:r>
        <w:t xml:space="preserve">1.5 Advertencias de interpretación que el WP tiene que llevar</w:t>
      </w:r>
    </w:p>
    <w:p>
      <w:pPr>
        <w:pStyle w:val="ListParagraph"/>
        <w:numPr>
          <w:ilvl w:val="0"/>
          <w:numId w:val="2"/>
        </w:numPr>
        <w:spacing w:after="60"/>
      </w:pPr>
      <w:r>
        <w:t xml:space="preserve">País de la matriz: la base actual tiene matriz para el 92 % del valor extranjero; la nota de julio tenía la mitad. Por eso USA supera a GBR y por eso las domésticas suben en Colombia, Chile y Argentina respecto de la nota. Los números de los hechos 1–4 de la nota no son comparables con los de los documentos sin decir esto.</w:t>
      </w:r>
    </w:p>
    <w:p>
      <w:pPr>
        <w:pStyle w:val="ListParagraph"/>
        <w:numPr>
          <w:ilvl w:val="0"/>
          <w:numId w:val="2"/>
        </w:numPr>
        <w:spacing w:after="60"/>
      </w:pPr>
      <w:r>
        <w:t xml:space="preserve">Jurisdicciones de tenencia: Liechtenstein (7 % de la agricultura, 7 % de la minería), Panamá, Suiza, Países Bajos y Luxemburgo son en parte holdings intermedios. La historia de EE. UU. no sufre de esto (una matriz en EE. UU. es una matriz en EE. UU.), pero "CHE" en agricultura parece corresponder a comercializadoras de granos con sede en Suiza y "LIE" en Chile y Argentina a fundaciones que controlan exportadoras de cobre, torta de soja y cereales (así aparece en los nombres de las matrices).</w:t>
      </w:r>
    </w:p>
    <w:p>
      <w:pPr>
        <w:pStyle w:val="ListParagraph"/>
        <w:numPr>
          <w:ilvl w:val="0"/>
          <w:numId w:val="2"/>
        </w:numPr>
        <w:spacing w:after="60"/>
      </w:pPr>
      <w:r>
        <w:t xml:space="preserve">"Presencia a través de la casa matriz" significa que la filial exporta al país de la matriz; los exportadores que son ellos mismos casa matriz no existen en la base (0 de 5,45 millones de filas) porque el match viene por vínculos de propiedad. La descomposición de los hechos 5 y 6 usa esa definición y hay que decirlo.</w:t>
      </w:r>
    </w:p>
    <w:p>
      <w:pPr>
        <w:pStyle w:val="ListParagraph"/>
        <w:numPr>
          <w:ilvl w:val="0"/>
          <w:numId w:val="2"/>
        </w:numPr>
        <w:spacing w:after="60"/>
      </w:pPr>
      <w:r>
        <w:t xml:space="preserve">Colombia: 55 % de la minería y 39 % del total es MNE doméstica por Ecopetrol; muchas cifras "domésticas" del total son Colombia. Cuando el WP hable de domésticas conviene mostrar siempre el total con y sin Colombia, o el sector minería aparte.</w:t>
      </w:r>
    </w:p>
    <w:p>
      <w:pPr>
        <w:pStyle w:val="ListParagraph"/>
        <w:numPr>
          <w:ilvl w:val="0"/>
          <w:numId w:val="2"/>
        </w:numPr>
        <w:spacing w:after="60"/>
      </w:pPr>
      <w:r>
        <w:t xml:space="preserve">La misma base que la nota: las regresiones que dependen solo del flag de match (Tabla 1 panel A, Tabla 2 columnas 1–2, Figura 5) reproducen la nota hasta el último dígito; las que usan los vínculos de filiales difieren en el tercer decimal. Se puede decir que es la misma base.</w:t>
      </w:r>
    </w:p>
    <w:p>
      <w:r>
        <w:br w:type="page"/>
      </w:r>
    </w:p>
    <w:p>
      <w:pPr>
        <w:pStyle w:val="Heading1"/>
        <w:spacing w:after="120" w:before="360"/>
      </w:pPr>
      <w:r>
        <w:t xml:space="preserve">2. Hecho 1 — Las MNE explican una parte grande de las exportaciones</w:t>
      </w:r>
    </w:p>
    <w:p>
      <w:pPr>
        <w:pStyle w:val="ListParagraph"/>
        <w:numPr>
          <w:ilvl w:val="0"/>
          <w:numId w:val="2"/>
        </w:numPr>
        <w:spacing w:after="60"/>
      </w:pPr>
      <w:r>
        <w:rPr>
          <w:b/>
          <w:bCs/>
        </w:rPr>
        <w:t xml:space="preserve">Figura 1 (original reproducida) — MOSTRAR. </w:t>
      </w:r>
      <w:r>
        <w:t xml:space="preserve">Idéntica en totales a la de la nota (COL 0,74, DOM 0,70, CRI 0,63, URY 0,63, PRY 0,62, CHL 0,61, ARG 0,56, SLV 0,48, PER 0,47); cambia la partición extranjera/doméstica por la recuperación de matrices (COL 0,35/0,39; CHL 0,48/0,14; ARG 0,49/0,08). Sigue siendo el punto de partida.</w:t>
      </w:r>
    </w:p>
    <w:p>
      <w:pPr>
        <w:pStyle w:val="ListParagraph"/>
        <w:numPr>
          <w:ilvl w:val="0"/>
          <w:numId w:val="2"/>
        </w:numPr>
        <w:spacing w:after="60"/>
      </w:pPr>
      <w:r>
        <w:rPr>
          <w:b/>
          <w:bCs/>
        </w:rPr>
        <w:t xml:space="preserve">Figura 2 (barra extranjera partida por país de la matriz) — MOSTRAR. </w:t>
      </w:r>
      <w:r>
        <w:t xml:space="preserve">Es la figura que cuenta la geografía de la inversión: EE. UU. es el 30 % de TODO lo exportado por Costa Rica y Paraguay y el 28 % de El Salvador; GBR es el 21 % de Chile y el 11 % de Perú; CAN el 16 % de República Dominicana; LIE el 6 % de Chile y el 4 % de Argentina; Argentina es el origen más diversificado (NLD 5,5 %, CHE 4,8 %, DEU 4,5 %, LIE 3,9 %). China no aparece entre los diez primeros en ningún país. Para el WP, esta figura reemplaza a la Figura 1 o va junto a ella.</w:t>
      </w:r>
    </w:p>
    <w:p>
      <w:pPr>
        <w:pStyle w:val="ListParagraph"/>
        <w:numPr>
          <w:ilvl w:val="0"/>
          <w:numId w:val="2"/>
        </w:numPr>
        <w:spacing w:after="60"/>
      </w:pPr>
      <w:r>
        <w:rPr>
          <w:b/>
          <w:bCs/>
        </w:rPr>
        <w:t xml:space="preserve">Figura 3 (mapa de calor origen × grupo de matriz) — NO MOSTRAR. </w:t>
      </w:r>
      <w:r>
        <w:t xml:space="preserve">Repite la Figura 2 en otro formato.</w:t>
      </w:r>
    </w:p>
    <w:p>
      <w:pPr>
        <w:pStyle w:val="ListParagraph"/>
        <w:numPr>
          <w:ilvl w:val="0"/>
          <w:numId w:val="2"/>
        </w:numPr>
        <w:spacing w:after="60"/>
      </w:pPr>
      <w:r>
        <w:rPr>
          <w:b/>
          <w:bCs/>
        </w:rPr>
        <w:t xml:space="preserve">WP_sectors, Figura 1 por sector (agricultura, manufactura, minería) — MOSTRAR. </w:t>
      </w:r>
      <w:r>
        <w:t xml:space="preserve">Vale mostrar las tres juntas porque el ranking de países cambia por completo: en agricultura lidera Paraguay (66 % MNE, 65 % extranjera) y cierra El Salvador (29 %); en manufactura lideran Costa Rica (76 %) y República Dominicana (74 %) y cierra Perú (35 %); en minería Colombia y República Dominicana (85 %), pero Colombia con 55 % doméstica. Esto explica la Figura 1 del total: el orden de los países refleja su canasta.</w:t>
      </w:r>
    </w:p>
    <w:p>
      <w:pPr>
        <w:pStyle w:val="ListParagraph"/>
        <w:numPr>
          <w:ilvl w:val="0"/>
          <w:numId w:val="2"/>
        </w:numPr>
        <w:spacing w:after="60"/>
      </w:pPr>
      <w:r>
        <w:rPr>
          <w:b/>
          <w:bCs/>
        </w:rPr>
        <w:t xml:space="preserve">Tabla 32 y Figura 25 (los cuatro sectores) y Tabla 33 / Figura 26 (origen × sector) — MOSTRAR. </w:t>
      </w:r>
      <w:r>
        <w:t xml:space="preserve">Compactas y necesarias para el argumento anterior. La Tabla 33 panel B (participación extranjera por celda origen × sector) muestra que la extranjera es alta en minería para ARG, CHL, DOM (75–85 %) y en manufactura para CRI, DOM, COL (58–73 %). Mostrar una de las dos (la tabla es más informativa).</w:t>
      </w:r>
    </w:p>
    <w:p>
      <w:pPr>
        <w:pStyle w:val="ListParagraph"/>
        <w:numPr>
          <w:ilvl w:val="0"/>
          <w:numId w:val="2"/>
        </w:numPr>
        <w:spacing w:after="60"/>
      </w:pPr>
      <w:r>
        <w:rPr>
          <w:b/>
          <w:bCs/>
        </w:rPr>
        <w:t xml:space="preserve">Tablas 36–37 (números detrás de las figuras) — APOYO / APÉNDICE. </w:t>
      </w:r>
      <w:r>
        <w:t xml:space="preserve">Apéndice.</w:t>
      </w:r>
    </w:p>
    <w:p>
      <w:pPr>
        <w:pStyle w:val="Heading3"/>
        <w:spacing w:after="80" w:before="180"/>
      </w:pPr>
      <w:r>
        <w:t xml:space="preserve">Foco EE. UU. en el hecho 1</w:t>
      </w:r>
    </w:p>
    <w:p>
      <w:pPr>
        <w:spacing w:after="120"/>
      </w:pPr>
      <w:r>
        <w:t xml:space="preserve">Las Figuras 2 de WP_sectors dan la participación de EE. UU. en el valor exportado de cada país por sector: manufactura CRI 42 %, SLV 35 %, DOM 26 %, COL 12 %, ARG 10 %; agricultura PRY 35 %, CRI 15 %, DOM 8 %, ARG 7 %; minería SLV 40 % (US$ 0,8 mm, irrelevante), COL 14 % (carbón y petróleo), PER 11 %. Propongo una figura única "participación de las MNE de EE. UU. en las exportaciones, por origen y sector" en lugar de tres figuras completas por sector.</w:t>
      </w:r>
    </w:p>
    <w:p>
      <w:pPr>
        <w:pStyle w:val="Heading1"/>
        <w:spacing w:after="120" w:before="360"/>
      </w:pPr>
      <w:r>
        <w:t xml:space="preserve">3. Hecho 2 — Extranjeras en productos complejos, domésticas en primarios</w:t>
      </w:r>
    </w:p>
    <w:p>
      <w:pPr>
        <w:pStyle w:val="ListParagraph"/>
        <w:numPr>
          <w:ilvl w:val="0"/>
          <w:numId w:val="2"/>
        </w:numPr>
        <w:spacing w:after="60"/>
      </w:pPr>
      <w:r>
        <w:rPr>
          <w:b/>
          <w:bCs/>
        </w:rPr>
        <w:t xml:space="preserve">Figuras 4 y 5 (originales: PCI y Lall) — MOSTRAR. </w:t>
      </w:r>
      <w:r>
        <w:t xml:space="preserve">Se reproducen con el gradiente extranjero (0,46 → 0,65) y el doméstico (0,18 → 0,07). En Lall: alta tecnología 61 % MNE, primarios 64 % pero con 18 % doméstico.</w:t>
      </w:r>
    </w:p>
    <w:p>
      <w:pPr>
        <w:pStyle w:val="ListParagraph"/>
        <w:numPr>
          <w:ilvl w:val="0"/>
          <w:numId w:val="2"/>
        </w:numPr>
        <w:spacing w:after="60"/>
      </w:pPr>
      <w:r>
        <w:rPr>
          <w:b/>
          <w:bCs/>
        </w:rPr>
        <w:t xml:space="preserve">Figura 6 (PCI por matriz) — MOSTRAR. </w:t>
      </w:r>
      <w:r>
        <w:t xml:space="preserve">EE. UU. sube de 11 % en Q1 a 18–19 % en Q3–Q4; DEU (15 %) y JPN (15 %) aparecen solo en Q5 (vehículos); GBR (13 %) y CAN (6 %) solo en Q1 (minerales). Muestra que el hecho 2 tiene nacionalidades: la complejidad de lo que exporta una MNE extranjera depende de dónde viene su matriz.</w:t>
      </w:r>
    </w:p>
    <w:p>
      <w:pPr>
        <w:pStyle w:val="ListParagraph"/>
        <w:numPr>
          <w:ilvl w:val="0"/>
          <w:numId w:val="2"/>
        </w:numPr>
        <w:spacing w:after="60"/>
      </w:pPr>
      <w:r>
        <w:rPr>
          <w:b/>
          <w:bCs/>
        </w:rPr>
        <w:t xml:space="preserve">Figura 7 (Lall por matriz) — MOSTRAR. </w:t>
      </w:r>
      <w:r>
        <w:t xml:space="preserve">Alta tecnología: EE. UU. 22 % de todo el valor exportado (41 % del valor extranjero); media tecnología: DEU 7 %, JPN 5 %, EE. UU. 10 %; primarios: GBR 13 %, doméstica 18 %. Se puede fusionar con la Figura 6 en un panel.</w:t>
      </w:r>
    </w:p>
    <w:p>
      <w:pPr>
        <w:pStyle w:val="ListParagraph"/>
        <w:numPr>
          <w:ilvl w:val="0"/>
          <w:numId w:val="2"/>
        </w:numPr>
        <w:spacing w:after="60"/>
      </w:pPr>
      <w:r>
        <w:rPr>
          <w:b/>
          <w:bCs/>
        </w:rPr>
        <w:t xml:space="preserve">Figura 8 (seis medidas en un panel) y Tabla 1 — APOYO / APÉNDICE. </w:t>
      </w:r>
      <w:r>
        <w:t xml:space="preserve">Solo PCI ordena monótonamente. Broda–Weinstein (0,44; 0,40; 0,40; 0,48; 0,39), upstreamness (0,52; 0,41; 0,41; 0,47; 0,49) y RHCI (0,34; 0,59; 0,51; 0,49; 0,53) no muestran gradiente; la escalera de calidad sube hasta Q4 y cae en Q5. Como robustez en apéndice: "la relación con el PCI no se traslada a otras medidas de sofisticación". Eso mismo es un hallazgo honesto.</w:t>
      </w:r>
    </w:p>
    <w:p>
      <w:pPr>
        <w:pStyle w:val="ListParagraph"/>
        <w:numPr>
          <w:ilvl w:val="0"/>
          <w:numId w:val="2"/>
        </w:numPr>
        <w:spacing w:after="60"/>
      </w:pPr>
      <w:r>
        <w:rPr>
          <w:b/>
          <w:bCs/>
        </w:rPr>
        <w:t xml:space="preserve">Figura 9 (FGO en lugar del PCI) y su columna en la Tabla 6 — NO MOSTRAR. </w:t>
      </w:r>
      <w:r>
        <w:t xml:space="preserve">Ver 1.4: el signo cambia por sector. Si Christian insiste en las elasticidades, mostrar las versiones sectoriales de WP_sectors: en agricultura la participación extranjera baja con la sustituibilidad (0,40 → 0,33; coeficiente −0,050), en manufactura baja (0,64 → 0,47) y en minería sube (0,34 → 0,55). La verificación metodológica quedó hecha: FGO da una elasticidad por producto HS6 común a todos los exportadores, así que no hay nada que corregir por origen.</w:t>
      </w:r>
    </w:p>
    <w:p>
      <w:pPr>
        <w:pStyle w:val="ListParagraph"/>
        <w:numPr>
          <w:ilvl w:val="0"/>
          <w:numId w:val="2"/>
        </w:numPr>
        <w:spacing w:after="60"/>
      </w:pPr>
      <w:r>
        <w:rPr>
          <w:b/>
          <w:bCs/>
        </w:rPr>
        <w:t xml:space="preserve">Figuras 10–12 (histogramas) y Tabla 2 (correlaciones) — NO MOSTRAR. </w:t>
      </w:r>
      <w:r>
        <w:t xml:space="preserve">Material técnico. La Tabla 2 solo sirve para decir que el PCI y RHCI están correlacionados (0,74) y el PCI y upstreamness negativamente (−0,49).</w:t>
      </w:r>
    </w:p>
    <w:p>
      <w:pPr>
        <w:pStyle w:val="ListParagraph"/>
        <w:numPr>
          <w:ilvl w:val="0"/>
          <w:numId w:val="2"/>
        </w:numPr>
        <w:spacing w:after="60"/>
      </w:pPr>
      <w:r>
        <w:rPr>
          <w:b/>
          <w:bCs/>
        </w:rPr>
        <w:t xml:space="preserve">Tabla 3 y, sobre todo, Tabla 4 con Figura 13 (Rauch en dos clases; nuevas) — MOSTRAR. </w:t>
      </w:r>
      <w:r>
        <w:t xml:space="preserve">Extranjeras: 56 % en diferenciados vs 43 % en no diferenciados; domésticas: 6 % vs 17 %. La clase homogénea (US$ 1.030 mm: petróleo, cobre, soja) es la que arrastra: 34 % extranjera, 23 % doméstica. En manufactura (WP_sectors) 60 % vs 44 % y 5 % vs 10 %. En agricultura no hay diferencia (41 % vs 38 %; doméstica 9 % en ambas). Es la versión del hecho 2 más fácil de leer y la que menos depende de la medida de complejidad.</w:t>
      </w:r>
    </w:p>
    <w:p>
      <w:pPr>
        <w:pStyle w:val="ListParagraph"/>
        <w:numPr>
          <w:ilvl w:val="0"/>
          <w:numId w:val="2"/>
        </w:numPr>
        <w:spacing w:after="60"/>
      </w:pPr>
      <w:r>
        <w:rPr>
          <w:b/>
          <w:bCs/>
        </w:rPr>
        <w:t xml:space="preserve">Tabla 5 (BEC uso final) — MOSTRAR. </w:t>
      </w:r>
      <w:r>
        <w:t xml:space="preserve">Bienes de capital 65 % extranjera, automóviles 89 %, intermedios 48 % (con 16 % doméstica), consumo 41 %. En manufactura el consumo sube a 54 % y la mitad de ese valor extranjero es de matriz estadounidense (USA 0,51). Compacta y útil para el argumento de "qué tipo de bien".</w:t>
      </w:r>
    </w:p>
    <w:p>
      <w:pPr>
        <w:pStyle w:val="ListParagraph"/>
        <w:numPr>
          <w:ilvl w:val="0"/>
          <w:numId w:val="2"/>
        </w:numPr>
        <w:spacing w:after="60"/>
      </w:pPr>
      <w:r>
        <w:rPr>
          <w:b/>
          <w:bCs/>
        </w:rPr>
        <w:t xml:space="preserve">Tabla 6 (escalera A.4 con PCI, FGO y upstreamness) — MOSTRAR. </w:t>
      </w:r>
      <w:r>
        <w:t xml:space="preserve">Mostrar solo las filas de PCI: +0,09 sobre la participación extranjera y −0,06 sobre la doméstica (−0,04 con efectos fijos origen × destino × año), y en manufactura +0,06 / +0,03 (las domésticas de manufactura NO están en lo menos complejo). La fila de FGO se quita o se comenta como no robusta.</w:t>
      </w:r>
    </w:p>
    <w:p>
      <w:pPr>
        <w:pStyle w:val="Heading3"/>
        <w:spacing w:after="80" w:before="180"/>
      </w:pPr>
      <w:r>
        <w:t xml:space="preserve">Sectores</w:t>
      </w:r>
    </w:p>
    <w:p>
      <w:pPr>
        <w:spacing w:after="120"/>
      </w:pPr>
      <w:r>
        <w:t xml:space="preserve">Agricultura (WP_sectors, parte I): el gradiente PCI extranjero es irregular; las clases de Rauch no separan; BEC intermedios 41 % vs consumo 35 %. El hecho 2 no es un hecho agrícola. Manufactura (parte II): es donde vive el hecho: PCI 0,39 → 0,68, Rauch 60/44, capital 65 % y automóviles 89 %. Minería (parte III): no aplica (208 productos; los quintiles no ordenan). Propuesta: en el WP presentar el hecho 2 para el total y para manufactura, y decir explícitamente que no se sostiene dentro de agricultura ni minería.</w:t>
      </w:r>
    </w:p>
    <w:p>
      <w:pPr>
        <w:pStyle w:val="Heading3"/>
        <w:spacing w:after="80" w:before="180"/>
      </w:pPr>
      <w:r>
        <w:t xml:space="preserve">Foco EE. UU. en el hecho 2</w:t>
      </w:r>
    </w:p>
    <w:p>
      <w:pPr>
        <w:spacing w:after="120"/>
      </w:pPr>
      <w:r>
        <w:t xml:space="preserve">Las MNE de EE. UU. son el vector del hecho 2 en el extremo alto: en manufactura tienen 25 % de la alta tecnología (WP_sectors Lall por matriz: electrónica 46 % del valor, instrumentos 53 %, computadores 52 %) y 32 % de la confección, mientras que en el quintil 1 del total (minerales) pesan 11 %. La Tabla 38 (PCI por matriz, números) lo cuantifica: USA 0,11 en Q1 y 0,19 en Q4.</w:t>
      </w:r>
    </w:p>
    <w:p>
      <w:pPr>
        <w:pStyle w:val="Heading1"/>
        <w:spacing w:after="120" w:before="360"/>
      </w:pPr>
      <w:r>
        <w:t xml:space="preserve">4. Hecho 3 — Pocos países de origen de las matrices</w:t>
      </w:r>
    </w:p>
    <w:p>
      <w:pPr>
        <w:pStyle w:val="ListParagraph"/>
        <w:numPr>
          <w:ilvl w:val="0"/>
          <w:numId w:val="2"/>
        </w:numPr>
        <w:spacing w:after="60"/>
      </w:pPr>
      <w:r>
        <w:rPr>
          <w:b/>
          <w:bCs/>
        </w:rPr>
        <w:t xml:space="preserve">Figura 14 y Tabla 7 (original: ranking de matrices) — MOSTRAR. </w:t>
      </w:r>
      <w:r>
        <w:t xml:space="preserve">USA 23,3 % (US$ 239 mm), GBR 19,3 %, CAN 7,8 %, LIE 5,4 %, DEU 4,3 %, NLD 3,9 %, CHE 3,6 %, JPN 3,4 %, PAN 3,3 %, BRA 2,8 %; 150 países restantes 14 %. Con la advertencia sobre la base (1.5).</w:t>
      </w:r>
    </w:p>
    <w:p>
      <w:pPr>
        <w:pStyle w:val="ListParagraph"/>
        <w:numPr>
          <w:ilvl w:val="0"/>
          <w:numId w:val="2"/>
        </w:numPr>
        <w:spacing w:after="60"/>
      </w:pPr>
      <w:r>
        <w:rPr>
          <w:b/>
          <w:bCs/>
        </w:rPr>
        <w:t xml:space="preserve">Tablas 8–10 (región de la matriz × región de destino) — APOYO / APÉNDICE. </w:t>
      </w:r>
      <w:r>
        <w:t xml:space="preserve">La fila % (Tabla 9) sí dice algo: las MNE con matriz europea mandan 38 % a Asia y 28 % a ALC; las norteamericanas 31 % a ALC y 24 % a Norteamérica; las asiáticas 51 % a ALC (autos japoneses a Brasil). Las domésticas mandan 33 % a Norteamérica (petróleo colombiano). Una sola tabla, en apéndice o como texto.</w:t>
      </w:r>
    </w:p>
    <w:p>
      <w:pPr>
        <w:pStyle w:val="ListParagraph"/>
        <w:numPr>
          <w:ilvl w:val="0"/>
          <w:numId w:val="2"/>
        </w:numPr>
        <w:spacing w:after="60"/>
      </w:pPr>
      <w:r>
        <w:rPr>
          <w:b/>
          <w:bCs/>
        </w:rPr>
        <w:t xml:space="preserve">Tabla 12 (top-10 matrices × top-10 destinos, fila %) — MOSTRAR. </w:t>
      </w:r>
      <w:r>
        <w:t xml:space="preserve">La tabla central del hecho 3 ampliado: GBR 36 % a China y 7 % a Japón; LIE 25 % China y 19 % Japón; PAN 35 % China; EE. UU. 22 % a EE. UU., 10 % China, 8 % Brasil; CAN 20 % a Canadá; JPN 45 % a Brasil, DEU 32 %, NLD 27 %. Tres modelos: mineras anglosajonas y sus holdings venden a Asia; automotrices europeas y japonesas usan Argentina como plataforma Mercosur; EE. UU. es el único que exporta a casa en volumen. Las Tablas 11 (valores) y 13 (columna %) van al apéndice.</w:t>
      </w:r>
    </w:p>
    <w:p>
      <w:pPr>
        <w:pStyle w:val="ListParagraph"/>
        <w:numPr>
          <w:ilvl w:val="0"/>
          <w:numId w:val="2"/>
        </w:numPr>
        <w:spacing w:after="60"/>
      </w:pPr>
      <w:r>
        <w:rPr>
          <w:b/>
          <w:bCs/>
        </w:rPr>
        <w:t xml:space="preserve">Tablas 14–15 (destino de las extranjeras vs de las locales, por origen) — APOYO / APÉNDICE. </w:t>
      </w:r>
      <w:r>
        <w:t xml:space="preserve">Comparación útil para el hecho 6: las MNE extranjeras de Chile mandan 60 % a Asia y las locales 44 %; Perú 45 % vs 28 %; República Dominicana 59 % a Norteamérica vs 47 %; Costa Rica 41 % vs 35 %. Las MNE extranjeras alcanzan mercados más lejanos o más grandes que las locales del mismo país. Dos líneas de texto o una tabla pequeña.</w:t>
      </w:r>
    </w:p>
    <w:p>
      <w:pPr>
        <w:pStyle w:val="ListParagraph"/>
        <w:numPr>
          <w:ilvl w:val="0"/>
          <w:numId w:val="2"/>
        </w:numPr>
        <w:spacing w:after="60"/>
      </w:pPr>
      <w:r>
        <w:rPr>
          <w:b/>
          <w:bCs/>
        </w:rPr>
        <w:t xml:space="preserve">Figura 15 (mapa de calor región × región) — NO MOSTRAR. </w:t>
      </w:r>
      <w:r>
        <w:t xml:space="preserve">Repite la Tabla 9.</w:t>
      </w:r>
    </w:p>
    <w:p>
      <w:pPr>
        <w:pStyle w:val="ListParagraph"/>
        <w:numPr>
          <w:ilvl w:val="0"/>
          <w:numId w:val="2"/>
        </w:numPr>
        <w:spacing w:after="60"/>
      </w:pPr>
      <w:r>
        <w:rPr>
          <w:b/>
          <w:bCs/>
        </w:rPr>
        <w:t xml:space="preserve">Figuras 16–17 (mapas de calor 15 × 15) — APOYO / APÉNDICE. </w:t>
      </w:r>
      <w:r>
        <w:t xml:space="preserve">Una de las dos, preferiblemente la 17 (participación en el valor extranjero total), como figura de apoyo a la Tabla 12: se ven de un vistazo las celdas GBR→CHN (7,1 % de todo el valor extranjero) y USA→USA (5,2 %).</w:t>
      </w:r>
    </w:p>
    <w:p>
      <w:pPr>
        <w:pStyle w:val="ListParagraph"/>
        <w:numPr>
          <w:ilvl w:val="0"/>
          <w:numId w:val="2"/>
        </w:numPr>
        <w:spacing w:after="60"/>
      </w:pPr>
      <w:r>
        <w:rPr>
          <w:b/>
          <w:bCs/>
        </w:rPr>
        <w:t xml:space="preserve">Figura 18 (parte de las exportaciones de cada matriz que va a su propio país) — MOSTRAR. </w:t>
      </w:r>
      <w:r>
        <w:t xml:space="preserve">Figura clave: USA 22 %, CAN 20 %, BRA 19 %, ESP 12 %, JPN 9 %, DEU 8 %, NLD 2 %, GBR 1 %, LIE 0 %, CHE 0 %. Promedio 9 %. Con las versiones sectoriales (WP_sectors): manufactura USA 41 %, BRA 22 %, DEU 9 %, JPN 3 %; agricultura USA 7 %, ESP 26 %, JPN 33 % (cifras chicas); minería CAN 26 %, BRA 34 %, USA 12,5 %, GBR 0,6 %. Propongo una versión con las cuatro barras (total y tres sectores) por matriz.</w:t>
      </w:r>
    </w:p>
    <w:p>
      <w:pPr>
        <w:pStyle w:val="Heading3"/>
        <w:spacing w:after="80" w:before="180"/>
      </w:pPr>
      <w:r>
        <w:t xml:space="preserve">Foco EE. UU. en el hecho 3 (WP_countries)</w:t>
      </w:r>
    </w:p>
    <w:p>
      <w:pPr>
        <w:spacing w:after="120"/>
      </w:pPr>
      <w:r>
        <w:t xml:space="preserve">WP_countries tiene, para cada origen, el mapa matriz × destino y la figura de "a casa". Solo tres valen la pena para el WP y son exactamente las de la historia: República Dominicana (EE. UU. manda a casa 70 %), El Salvador (67 %) y Costa Rica (47 %). En los seis restantes la barra de EE. UU. es baja (Chile 31 %, Colombia 15 %, Perú 9 %, Argentina 4 %, Paraguay y Uruguay 0 %) y el mensaje es el mismo que en la Figura 18. Las tablas por origen de región × destino y los top-15 HS6 por origen son apéndice.</w:t>
      </w:r>
    </w:p>
    <w:p>
      <w:pPr>
        <w:spacing w:after="120"/>
      </w:pPr>
      <w:r>
        <w:t xml:space="preserve">Los productos que las MNE de EE. UU. mandan a casa y su peso en lo que ALC exporta a EE. UU. de ese producto: camisetas 52 %, catéteres 83 %, circuitos integrados 95 %, neumáticos 63 %, ropa interior 86 %, medias 93 %, instrumentos médicos 43 %, carbón 48 %, molibdeno 79 %; en cambio petróleo crudo 5 % y piñas 20 %. Esta lista, junto con la tabla "quién mueve las exportaciones a EE. UU." (1.2), sería una figura nueva y la más directa para Christian.</w:t>
      </w:r>
    </w:p>
    <w:p>
      <w:pPr>
        <w:pStyle w:val="Heading1"/>
        <w:spacing w:after="120" w:before="360"/>
      </w:pPr>
      <w:r>
        <w:t xml:space="preserve">5. Hecho 4 — Pocos grupos grandes concentran el valor</w:t>
      </w:r>
    </w:p>
    <w:p>
      <w:pPr>
        <w:pStyle w:val="ListParagraph"/>
        <w:numPr>
          <w:ilvl w:val="0"/>
          <w:numId w:val="2"/>
        </w:numPr>
        <w:spacing w:after="60"/>
      </w:pPr>
      <w:r>
        <w:rPr>
          <w:b/>
          <w:bCs/>
        </w:rPr>
        <w:t xml:space="preserve">Figura 19 y Tabla 16 (original: tamaño de la red) — MOSTRAR. </w:t>
      </w:r>
      <w:r>
        <w:t xml:space="preserve">Se reproduce la nota (56 % del valor en matrices con más de 100 filiales; 9 % de las matrices). Las versiones sectoriales caben en una frase: manufactura 65 %, minería 51 %, agricultura 50 %; en agricultura el 45 % de las matrices tiene una sola filial.</w:t>
      </w:r>
    </w:p>
    <w:p>
      <w:pPr>
        <w:pStyle w:val="ListParagraph"/>
        <w:numPr>
          <w:ilvl w:val="0"/>
          <w:numId w:val="2"/>
        </w:numPr>
        <w:spacing w:after="60"/>
      </w:pPr>
      <w:r>
        <w:rPr>
          <w:b/>
          <w:bCs/>
        </w:rPr>
        <w:t xml:space="preserve">Figura 20 y Tabla 17 (HHI agrupando filiales por matriz) — APOYO / APÉNDICE. </w:t>
      </w:r>
      <w:r>
        <w:t xml:space="preserve">El efecto es pequeño (HHI 0,192 → 0,215; participación del mayor exportador 31 % → 34 %) y mayor en minería (0,182 → 0,229) y en los productos intensivos en MNE (0,234 → 0,270). Sirve para una frase; la figura de seis barras no dice más que eso.</w:t>
      </w:r>
    </w:p>
    <w:p>
      <w:pPr>
        <w:pStyle w:val="ListParagraph"/>
        <w:numPr>
          <w:ilvl w:val="0"/>
          <w:numId w:val="2"/>
        </w:numPr>
        <w:spacing w:after="60"/>
      </w:pPr>
      <w:r>
        <w:rPr>
          <w:b/>
          <w:bCs/>
        </w:rPr>
        <w:t xml:space="preserve">Tablas 18–19 (grupos vs filiales en la celda) — NO MOSTRAR. </w:t>
      </w:r>
      <w:r>
        <w:t xml:space="preserve">Resultado nulo: 1,0 filiales por grupo en la celda origen-destino-producto-año; 1 % de las celdas con un grupo que exporta por más de una filial; coeficientes con grupos idénticos a los de firmas. Una nota al pie en el hecho 5.</w:t>
      </w:r>
    </w:p>
    <w:p>
      <w:pPr>
        <w:pStyle w:val="Heading1"/>
        <w:spacing w:after="120" w:before="360"/>
      </w:pPr>
      <w:r>
        <w:t xml:space="preserve">6. Hecho 5 — Más presencia de MNE, más comercio</w:t>
      </w:r>
    </w:p>
    <w:p>
      <w:pPr>
        <w:pStyle w:val="ListParagraph"/>
        <w:numPr>
          <w:ilvl w:val="0"/>
          <w:numId w:val="2"/>
        </w:numPr>
        <w:spacing w:after="60"/>
      </w:pPr>
      <w:r>
        <w:rPr>
          <w:b/>
          <w:bCs/>
        </w:rPr>
        <w:t xml:space="preserve">Tabla 20 (original, Tabla 1 de la nota) — MOSTRAR. </w:t>
      </w:r>
      <w:r>
        <w:t xml:space="preserve">Reproducida (2,08 / 2,07 / 0,94; margen extensivo 1,46 / 1,46 / 0,68). Panel B (exportaciones de las firmas no MNE) 1,35 / 1,34 / 0,24.</w:t>
      </w:r>
    </w:p>
    <w:p>
      <w:pPr>
        <w:pStyle w:val="ListParagraph"/>
        <w:numPr>
          <w:ilvl w:val="0"/>
          <w:numId w:val="2"/>
        </w:numPr>
        <w:spacing w:after="60"/>
      </w:pPr>
      <w:r>
        <w:rPr>
          <w:b/>
          <w:bCs/>
        </w:rPr>
        <w:t xml:space="preserve">Tabla 21 (valor MNE por origen: doméstico y presencia en el destino) — MOSTRAR. </w:t>
      </w:r>
      <w:r>
        <w:t xml:space="preserve">Es una tabla de descripción que dice mucho: del valor extranjero, solo 8,4 % va al país de la matriz ("a través de la casa matriz"), pero 41 % en El Salvador, 29 % en República Dominicana y 26 % en Costa Rica; y el 40 % del valor extranjero va a destinos donde el grupo tiene otra filial. Manufactura: 12 % a casa, con SLV 47 %, CRI 33 %, DOM 25 %. Complementa la Figura 18 desde el lado del origen.</w:t>
      </w:r>
    </w:p>
    <w:p>
      <w:pPr>
        <w:pStyle w:val="ListParagraph"/>
        <w:numPr>
          <w:ilvl w:val="0"/>
          <w:numId w:val="2"/>
        </w:numPr>
        <w:spacing w:after="60"/>
      </w:pPr>
      <w:r>
        <w:rPr>
          <w:b/>
          <w:bCs/>
        </w:rPr>
        <w:t xml:space="preserve">Tabla 22 (margen intensivo descompuesto) — MOSTRAR. </w:t>
      </w:r>
      <w:r>
        <w:t xml:space="preserve">La descomposición que pidió Christian, en el orden pedido: (1) todas las MNE 2,07; (2) extranjeras 1,21 vs domésticas 0,44 [con efectos fijos origen × destino × producto y origen × destino × año: 0,45 vs 0,22]; (3) extranjeras presentes a través de la casa matriz 0,40 vs no 0,95, domésticas 0,38. Panel B (exportaciones de las firmas locales de la celda): extranjeras 1,13 vs domésticas 0,47. Las columnas (3)–(4) tienen 113.000 celdas (se necesitan ambos conteos positivos porque los logaritmos son simples, sin 1+x) y las (5)–(6) solo 9.200; la comparación HQ / no HQ es sugestiva pero frágil. Recomiendo mostrar (1)–(4) y comentar (5)–(6) en texto.</w:t>
      </w:r>
    </w:p>
    <w:p>
      <w:pPr>
        <w:pStyle w:val="ListParagraph"/>
        <w:numPr>
          <w:ilvl w:val="0"/>
          <w:numId w:val="2"/>
        </w:numPr>
        <w:spacing w:after="60"/>
      </w:pPr>
      <w:r>
        <w:rPr>
          <w:b/>
          <w:bCs/>
        </w:rPr>
        <w:t xml:space="preserve">Tabla 23 (margen extensivo descompuesto) — APOYO / APÉNDICE. </w:t>
      </w:r>
      <w:r>
        <w:t xml:space="preserve">Cualquier MNE extranjera 1,50 vs cualquier doméstica 1,47; a través de la casa matriz 1,39 vs no 1,51. Como contraste con la Tabla 22: la presencia por sí sola se asocia igual a exportaciones para ambos tipos; la diferencia está en cuántas hay. Una frase en el texto.</w:t>
      </w:r>
    </w:p>
    <w:p>
      <w:pPr>
        <w:pStyle w:val="ListParagraph"/>
        <w:numPr>
          <w:ilvl w:val="0"/>
          <w:numId w:val="2"/>
        </w:numPr>
        <w:spacing w:after="60"/>
      </w:pPr>
      <w:r>
        <w:rPr>
          <w:b/>
          <w:bCs/>
        </w:rPr>
        <w:t xml:space="preserve">Tabla 19 (grupos en lugar de firmas) — NO MOSTRAR. </w:t>
      </w:r>
      <w:r>
        <w:t xml:space="preserve">Ver hecho 4.</w:t>
      </w:r>
    </w:p>
    <w:p>
      <w:pPr>
        <w:pStyle w:val="Heading3"/>
        <w:spacing w:after="80" w:before="180"/>
      </w:pPr>
      <w:r>
        <w:t xml:space="preserve">Sectores</w:t>
      </w:r>
    </w:p>
    <w:p>
      <w:pPr>
        <w:spacing w:after="120"/>
      </w:pPr>
      <w:r>
        <w:t xml:space="preserve">La Tabla 22 sectorial se sostiene: agricultura 1,30 (extranjeras) vs 0,52 (domésticas) y sobre las locales 1,22 vs 0,57; manufactura 1,16 vs 0,38 y 1,05 vs 0,42; minería 1,13 vs 0,32 (n.s.), con la advertencia de que en minería la columna con efectos fijos completos pierde significancia y las columnas HQ quedan en blanco por falta de observaciones. Propongo una tabla resumen con las filas "extranjeras" y "domésticas" para total y tres sectores (cuatro columnas).</w:t>
      </w:r>
    </w:p>
    <w:p>
      <w:pPr>
        <w:pStyle w:val="Heading1"/>
        <w:spacing w:after="120" w:before="360"/>
      </w:pPr>
      <w:r>
        <w:t xml:space="preserve">7. Hecho 6 — La distancia frena menos a las MNE</w:t>
      </w:r>
    </w:p>
    <w:p>
      <w:pPr>
        <w:pStyle w:val="ListParagraph"/>
        <w:numPr>
          <w:ilvl w:val="0"/>
          <w:numId w:val="2"/>
        </w:numPr>
        <w:spacing w:after="60"/>
      </w:pPr>
      <w:r>
        <w:rPr>
          <w:b/>
          <w:bCs/>
        </w:rPr>
        <w:t xml:space="preserve">Tabla 24 (original, Tabla 2 de la nota) — MOSTRAR. </w:t>
      </w:r>
      <w:r>
        <w:t xml:space="preserve">Reproducida en las columnas agregadas (−0,164 / −0,185; interacción MNE 0,046 / 0,046). Las columnas de presencia difieren en el tercer decimal respecto de la nota (0,069 vs 0,067).</w:t>
      </w:r>
    </w:p>
    <w:p>
      <w:pPr>
        <w:pStyle w:val="ListParagraph"/>
        <w:numPr>
          <w:ilvl w:val="0"/>
          <w:numId w:val="2"/>
        </w:numPr>
        <w:spacing w:after="60"/>
      </w:pPr>
      <w:r>
        <w:rPr>
          <w:b/>
          <w:bCs/>
        </w:rPr>
        <w:t xml:space="preserve">Tabla 25 (extranjeras / domésticas; a través de la casa matriz / no) — MOSTRAR. </w:t>
      </w:r>
      <w:r>
        <w:t xml:space="preserve">Interacción con distancia: extranjeras 0,049, domésticas 0,032; extranjeras presentes a través de la casa matriz 0,064, no presentes 0,048. Es decir, la atenuación de la distancia es un rasgo sobre todo de las extranjeras y, dentro de ellas, de las que venden al país de su matriz. Hay que leerlo con cuidado: "presente a través de la casa matriz" es, por definición, exportar al país de la matriz, así que la fila mide cuánto menos pesa la distancia en los flujos filial → matriz. Vale mostrarla con esa aclaración.</w:t>
      </w:r>
    </w:p>
    <w:p>
      <w:pPr>
        <w:pStyle w:val="Heading3"/>
        <w:spacing w:after="80" w:before="180"/>
      </w:pPr>
      <w:r>
        <w:t xml:space="preserve">Sectores</w:t>
      </w:r>
    </w:p>
    <w:p>
      <w:pPr>
        <w:spacing w:after="120"/>
      </w:pPr>
      <w:r>
        <w:t xml:space="preserve">Agricultura: extranjeras 0,037 vs domésticas 0,019 (base −0,21). Manufactura: 0,052 vs 0,039 (base −0,15). Minería: la elasticidad base a la distancia es −0,09 y no significativa, la interacción doméstica (0,071) supera a la extranjera (0,057) y la fila HQ no es significativa: en commodities la distancia no es una barrera y la única MNE doméstica grande (Ecopetrol) exporta lejos. Propongo la misma tabla resumen de cuatro columnas que para el hecho 5.</w:t>
      </w:r>
    </w:p>
    <w:p>
      <w:pPr>
        <w:pStyle w:val="Heading1"/>
        <w:spacing w:after="120" w:before="360"/>
      </w:pPr>
      <w:r>
        <w:t xml:space="preserve">8. Productos a seis dígitos (ítem 1f)</w:t>
      </w:r>
    </w:p>
    <w:p>
      <w:pPr>
        <w:pStyle w:val="ListParagraph"/>
        <w:numPr>
          <w:ilvl w:val="0"/>
          <w:numId w:val="2"/>
        </w:numPr>
        <w:spacing w:after="60"/>
      </w:pPr>
      <w:r>
        <w:rPr>
          <w:b/>
          <w:bCs/>
        </w:rPr>
        <w:t xml:space="preserve">Figura 21 (top-20 HS6 por valor: extranjera / doméstica / local) — MOSTRAR. </w:t>
      </w:r>
      <w:r>
        <w:t xml:space="preserve">Petróleo crudo US$ 209 mm (75 % doméstica, 21 % extranjera), cobre en concentrado US$ 206 mm (83 % extranjera), cátodos de cobre US$ 138 mm (32 % extranjera; 65 % firmas locales no matched), oro US$ 136 mm (40 %), torta de soja US$ 98 mm (35 %), carbón US$ 68 mm (77 %), soja US$ 57 mm (64 %), maíz US$ 43 mm (53 %), café US$ 42 mm (34 %). La heterogeneidad producto a producto es enorme y es lo que hay que mostrar.</w:t>
      </w:r>
    </w:p>
    <w:p>
      <w:pPr>
        <w:pStyle w:val="ListParagraph"/>
        <w:numPr>
          <w:ilvl w:val="0"/>
          <w:numId w:val="2"/>
        </w:numPr>
        <w:spacing w:after="60"/>
      </w:pPr>
      <w:r>
        <w:rPr>
          <w:b/>
          <w:bCs/>
        </w:rPr>
        <w:t xml:space="preserve">Figura 22 (mismos 20, extranjera partida por matriz) — MOSTRAR. </w:t>
      </w:r>
      <w:r>
        <w:t xml:space="preserve">El mapa matriz-producto: GBR en cobre y carbón, CAN en oro, USA en soja, maíz, trigo y camisetas, DEU en camiones, CHE en torta de soja, FRA en autos, SAU en carne, ESP en refinados. Junto con la Tabla 26 (secciones HS: minerales 51 % extranjera y 29 % doméstica; transporte 78 %; instrumentos 72 %; maquinaria 63 %; textiles 49 % con USA 0,52) forma el núcleo del ítem 1f.</w:t>
      </w:r>
    </w:p>
    <w:p>
      <w:pPr>
        <w:pStyle w:val="ListParagraph"/>
        <w:numPr>
          <w:ilvl w:val="0"/>
          <w:numId w:val="2"/>
        </w:numPr>
        <w:spacing w:after="60"/>
      </w:pPr>
      <w:r>
        <w:rPr>
          <w:b/>
          <w:bCs/>
        </w:rPr>
        <w:t xml:space="preserve">Figura 23 y Tabla 31 (distribución de la participación extranjera por producto) — APOYO / APÉNDICE. </w:t>
      </w:r>
      <w:r>
        <w:t xml:space="preserve">El 38 % del valor está en productos donde las extranjeras tienen más de la mitad (manufactura 46 %, minería 43 %, agricultura 25 %); el 52 % está en productos con 20–50 %. La segunda serie (participación de las MNE entre las firmas exportadoras del producto) sube de 25 % a 53 % a lo largo de los bins: los productos dominados por MNE en valor también lo están en número de firmas. Una frase.</w:t>
      </w:r>
    </w:p>
    <w:p>
      <w:pPr>
        <w:pStyle w:val="ListParagraph"/>
        <w:numPr>
          <w:ilvl w:val="0"/>
          <w:numId w:val="2"/>
        </w:numPr>
        <w:spacing w:after="60"/>
      </w:pPr>
      <w:r>
        <w:rPr>
          <w:b/>
          <w:bCs/>
        </w:rPr>
        <w:t xml:space="preserve">Figura 24 (Lorenz) — APOYO / APÉNDICE. </w:t>
      </w:r>
      <w:r>
        <w:t xml:space="preserve">15 productos = 50 % de las exportaciones de MNE extranjeras (en minería, 2 productos; en manufactura, 25). Una frase.</w:t>
      </w:r>
    </w:p>
    <w:p>
      <w:pPr>
        <w:pStyle w:val="ListParagraph"/>
        <w:numPr>
          <w:ilvl w:val="0"/>
          <w:numId w:val="2"/>
        </w:numPr>
        <w:spacing w:after="60"/>
      </w:pPr>
      <w:r>
        <w:rPr>
          <w:b/>
          <w:bCs/>
        </w:rPr>
        <w:t xml:space="preserve">Tablas 27–30 (top-30 por valor, por valor extranjero, mayor participación extranjera, mayor doméstica) — APOYO / APÉNDICE. </w:t>
      </w:r>
      <w:r>
        <w:t xml:space="preserve">Apéndice. Lo citable: productos 100 % extranjeros (ferroníquel ZAF, gas natural licuado USA, PVC MEX, automóviles JPN/NLD/USA) y productos dominados por domésticas (petróleo crudo 75 %, carbonato de litio 65 %, celulosa 54 %, aviones 53 %).</w:t>
      </w:r>
    </w:p>
    <w:p>
      <w:pPr>
        <w:pStyle w:val="Heading3"/>
        <w:spacing w:after="80" w:before="180"/>
      </w:pPr>
      <w:r>
        <w:t xml:space="preserve">Foco EE. UU. en los productos</w:t>
      </w:r>
    </w:p>
    <w:p>
      <w:pPr>
        <w:spacing w:after="120"/>
      </w:pPr>
      <w:r>
        <w:t xml:space="preserve">De los productos de la Figura 22, EE. UU. lidera en soja (51 % del valor extranjero), maíz (37 %), trigo (25 %), aceite de soja (26 %), camisetas (78 %), instrumentos médicos (48 %), catéteres (86 %), circuitos integrados (98 %), gas natural licuado (100 %) y petróleo crudo (45 % del valor extranjero, que es solo el 21 % del producto). Dos negocios distintos: granos del Cono Sur hacia terceros mercados y manufactura liviana y médica de Centroamérica y el Caribe hacia EE. UU.</w:t>
      </w:r>
    </w:p>
    <w:p>
      <w:pPr>
        <w:pStyle w:val="Heading1"/>
        <w:spacing w:after="120" w:before="360"/>
      </w:pPr>
      <w:r>
        <w:t xml:space="preserve">9. Subclasificaciones sectoriales (WP_sectors, ítem 2)</w:t>
      </w:r>
    </w:p>
    <w:p>
      <w:pPr>
        <w:spacing w:after="120"/>
      </w:pPr>
      <w:r>
        <w:t xml:space="preserve">Cada sector tiene siete cortes (secciones HS, uso final BEC, categorías BEC, divisiones SITC, NAICS, Lall y, en agricultura, insumos vs producto), cada uno con tabla, barras, mapa de calor origen × subsector y composición por matriz. Es demasiado: los cortes se solapan (NAICS y SITC dicen lo mismo que las secciones HS) y hay que elegir uno por sector.</w:t>
      </w:r>
    </w:p>
    <w:p>
      <w:pPr>
        <w:pStyle w:val="Heading2"/>
        <w:spacing w:after="100" w:before="240"/>
      </w:pPr>
      <w:r>
        <w:t xml:space="preserve">Agricultura</w:t>
      </w:r>
    </w:p>
    <w:p>
      <w:pPr>
        <w:pStyle w:val="ListParagraph"/>
        <w:numPr>
          <w:ilvl w:val="0"/>
          <w:numId w:val="2"/>
        </w:numPr>
        <w:spacing w:after="60"/>
      </w:pPr>
      <w:r>
        <w:rPr>
          <w:b/>
          <w:bCs/>
        </w:rPr>
        <w:t xml:space="preserve">Divisiones SITC (Tabla y barras) — MOSTRAR. </w:t>
      </w:r>
      <w:r>
        <w:t xml:space="preserve">Es el corte que ordena: semillas oleaginosas 62 % extranjera (USA 0,54), productos comestibles diversos 71 % (USA 0,46), tabaco 55 % (USA 0,36, HKG 0,25), cereales 49 % (USA 0,33), pescado 42 % (ESP 0,32), animal feed 36 % (CHE 0,28, LIE 0,19), carne 35 % (SAU 0,46, BRA 0,26), frutas y verduras 33 % (nadie domina: ESP 0,14), café 30 % (DEU 0,41), lácteos 28 % con 20 % doméstica, azúcar 19 %. El patrón: las MNE extranjeras están en los granos y su procesamiento (comercializadoras) y casi ausentes en fruta fresca y azúcar, que exportan productores locales.</w:t>
      </w:r>
    </w:p>
    <w:p>
      <w:pPr>
        <w:pStyle w:val="ListParagraph"/>
        <w:numPr>
          <w:ilvl w:val="0"/>
          <w:numId w:val="2"/>
        </w:numPr>
        <w:spacing w:after="60"/>
      </w:pPr>
      <w:r>
        <w:rPr>
          <w:b/>
          <w:bCs/>
        </w:rPr>
        <w:t xml:space="preserve">Uso final BEC — APOYO / APÉNDICE. </w:t>
      </w:r>
      <w:r>
        <w:t xml:space="preserve">Intermedios 41 % vs consumo 35 %; primarios para la industria 49 % (USA 0,40) vs primarios para hogares 32 %. Una frase.</w:t>
      </w:r>
    </w:p>
    <w:p>
      <w:pPr>
        <w:pStyle w:val="ListParagraph"/>
        <w:numPr>
          <w:ilvl w:val="0"/>
          <w:numId w:val="2"/>
        </w:numPr>
        <w:spacing w:after="60"/>
      </w:pPr>
      <w:r>
        <w:rPr>
          <w:b/>
          <w:bCs/>
        </w:rPr>
        <w:t xml:space="preserve">Insumos vs producto agrícola — NO MOSTRAR. </w:t>
      </w:r>
      <w:r>
        <w:t xml:space="preserve">36 % vs 39 %: no hay diferencia. ("Insumos" incluye la torta de soja, por eso CHE y LIE.)</w:t>
      </w:r>
    </w:p>
    <w:p>
      <w:pPr>
        <w:pStyle w:val="ListParagraph"/>
        <w:numPr>
          <w:ilvl w:val="0"/>
          <w:numId w:val="2"/>
        </w:numPr>
        <w:spacing w:after="60"/>
      </w:pPr>
      <w:r>
        <w:rPr>
          <w:b/>
          <w:bCs/>
        </w:rPr>
        <w:t xml:space="preserve">Lall, NAICS, secciones HS de agricultura — NO MOSTRAR. </w:t>
      </w:r>
      <w:r>
        <w:t xml:space="preserve">Redundantes con SITC.</w:t>
      </w:r>
    </w:p>
    <w:p>
      <w:pPr>
        <w:pStyle w:val="Heading2"/>
        <w:spacing w:after="100" w:before="240"/>
      </w:pPr>
      <w:r>
        <w:t xml:space="preserve">Manufactura</w:t>
      </w:r>
    </w:p>
    <w:p>
      <w:pPr>
        <w:pStyle w:val="ListParagraph"/>
        <w:numPr>
          <w:ilvl w:val="0"/>
          <w:numId w:val="2"/>
        </w:numPr>
        <w:spacing w:after="60"/>
      </w:pPr>
      <w:r>
        <w:rPr>
          <w:b/>
          <w:bCs/>
        </w:rPr>
        <w:t xml:space="preserve">Secciones HS o divisiones SITC (una de las dos) — MOSTRAR. </w:t>
      </w:r>
      <w:r>
        <w:t xml:space="preserve">Transporte 78 % extranjera (DEU 0,30, JPN 0,28), instrumentos 72–83 % (USA 0,66), maquinaria y eléctricos 63–75 % (USA 0,41), plásticos 51 % (USA 0,34), químicos 49 % (USA 0,25), textiles y confección 49–52 % (USA 0,62–0,73), metales básicos 41 % (GBR 0,44: cátodos de cobre), celulosa y papel 54 % extranjera y 28 % doméstica (PAN 0,54: holdings panameños de grupos forestales), madera 27 % extranjera y 34 % doméstica. Es la tabla de manufactura.</w:t>
      </w:r>
    </w:p>
    <w:p>
      <w:pPr>
        <w:pStyle w:val="ListParagraph"/>
        <w:numPr>
          <w:ilvl w:val="0"/>
          <w:numId w:val="2"/>
        </w:numPr>
        <w:spacing w:after="60"/>
      </w:pPr>
      <w:r>
        <w:rPr>
          <w:b/>
          <w:bCs/>
        </w:rPr>
        <w:t xml:space="preserve">Uso final BEC de manufactura — MOSTRAR. </w:t>
      </w:r>
      <w:r>
        <w:t xml:space="preserve">Bienes de capital 65 % (DEU 0,31, JPN 0,28, USA 0,18), automóviles 89 %, consumo 54 % (USA 0,51), intermedios 47 % (GBR 0,20, USA 0,20). Corta y con nacionalidades.</w:t>
      </w:r>
    </w:p>
    <w:p>
      <w:pPr>
        <w:pStyle w:val="ListParagraph"/>
        <w:numPr>
          <w:ilvl w:val="0"/>
          <w:numId w:val="2"/>
        </w:numPr>
        <w:spacing w:after="60"/>
      </w:pPr>
      <w:r>
        <w:rPr>
          <w:b/>
          <w:bCs/>
        </w:rPr>
        <w:t xml:space="preserve">Lall de manufactura — APOYO / APÉNDICE. </w:t>
      </w:r>
      <w:r>
        <w:t xml:space="preserve">Automotriz 84 %, ingeniería 67 % (USA 0,42), electrónica 63 % (USA 0,76), proceso 55 %, primarios 39 % (GBR 0,57). Se solapa con las anteriores; apéndice.</w:t>
      </w:r>
    </w:p>
    <w:p>
      <w:pPr>
        <w:pStyle w:val="ListParagraph"/>
        <w:numPr>
          <w:ilvl w:val="0"/>
          <w:numId w:val="2"/>
        </w:numPr>
        <w:spacing w:after="60"/>
      </w:pPr>
      <w:r>
        <w:rPr>
          <w:b/>
          <w:bCs/>
        </w:rPr>
        <w:t xml:space="preserve">NAICS, categorías BEC detalladas — NO MOSTRAR. </w:t>
      </w:r>
      <w:r>
        <w:t xml:space="preserve">Redundantes.</w:t>
      </w:r>
    </w:p>
    <w:p>
      <w:pPr>
        <w:pStyle w:val="Heading2"/>
        <w:spacing w:after="100" w:before="240"/>
      </w:pPr>
      <w:r>
        <w:t xml:space="preserve">Minería y combustibles</w:t>
      </w:r>
    </w:p>
    <w:p>
      <w:pPr>
        <w:pStyle w:val="ListParagraph"/>
        <w:numPr>
          <w:ilvl w:val="0"/>
          <w:numId w:val="2"/>
        </w:numPr>
        <w:spacing w:after="60"/>
      </w:pPr>
      <w:r>
        <w:rPr>
          <w:b/>
          <w:bCs/>
        </w:rPr>
        <w:t xml:space="preserve">Categorías BEC o divisiones SITC (una) — MOSTRAR. </w:t>
      </w:r>
      <w:r>
        <w:t xml:space="preserve">Combustibles primarios US$ 281 mm: 35 % extranjera (USA 0,47, GBR 0,27) y 56 % doméstica; minerales metálicos US$ 279 mm: 74 % extranjera (GBR 0,54, LIE 0,13) y 4 % doméstica; oro US$ 139 mm: 40 % (CAN 0,69); carbón US$ 76 mm: 73 % (GBR 0,49, USA 0,48); gas US$ 17 mm: 67 % (USA 0,79). En una tabla se ve que "minería" son dos mundos: metales extranjeros y petróleo doméstico.</w:t>
      </w:r>
    </w:p>
    <w:p>
      <w:pPr>
        <w:pStyle w:val="ListParagraph"/>
        <w:numPr>
          <w:ilvl w:val="0"/>
          <w:numId w:val="2"/>
        </w:numPr>
        <w:spacing w:after="60"/>
      </w:pPr>
      <w:r>
        <w:rPr>
          <w:b/>
          <w:bCs/>
        </w:rPr>
        <w:t xml:space="preserve">Lall, NAICS, secciones HS de minería — NO MOSTRAR. </w:t>
      </w:r>
      <w:r>
        <w:t xml:space="preserve">Dos filas o redundantes.</w:t>
      </w:r>
    </w:p>
    <w:p>
      <w:pPr>
        <w:pStyle w:val="Heading2"/>
        <w:spacing w:after="100" w:before="240"/>
      </w:pPr>
      <w:r>
        <w:t xml:space="preserve">Tablas de composición por matriz (todas las subclasificaciones)</w:t>
      </w:r>
    </w:p>
    <w:p>
      <w:pPr>
        <w:pStyle w:val="ListParagraph"/>
        <w:numPr>
          <w:ilvl w:val="0"/>
          <w:numId w:val="2"/>
        </w:numPr>
        <w:spacing w:after="60"/>
      </w:pPr>
      <w:r>
        <w:rPr>
          <w:b/>
          <w:bCs/>
        </w:rPr>
        <w:t xml:space="preserve">Composición por matriz — APOYO / APÉNDICE. </w:t>
      </w:r>
      <w:r>
        <w:t xml:space="preserve">Solo para el foco en EE. UU.: confección 32 % del valor por matrices de EE. UU., instrumentos 53 %, computadores y electrónica 52 %, alta tecnología electrónica 46 %, caucho 30 %, plásticos primarios 17 % (y MEX 21 %), gas 53 %, carbón 33 %, petróleo 8 %. El resto de esas tablas al apéndice o fuera.</w:t>
      </w:r>
    </w:p>
    <w:p>
      <w:pPr>
        <w:pStyle w:val="Heading1"/>
        <w:spacing w:after="120" w:before="360"/>
      </w:pPr>
      <w:r>
        <w:t xml:space="preserve">10. Propuesta de conjunto mínimo para Christian</w:t>
      </w:r>
    </w:p>
    <w:p>
      <w:pPr>
        <w:spacing w:after="120"/>
      </w:pPr>
      <w:r>
        <w:t xml:space="preserve">Doce exhibits, en este orden, contarían la historia completa sin los 265 restantes:</w:t>
      </w:r>
    </w:p>
    <w:p>
      <w:pPr>
        <w:pStyle w:val="ListParagraph"/>
        <w:numPr>
          <w:ilvl w:val="0"/>
          <w:numId w:val="2"/>
        </w:numPr>
        <w:spacing w:after="60"/>
      </w:pPr>
      <w:r>
        <w:rPr>
          <w:b/>
          <w:bCs/>
        </w:rPr>
        <w:t xml:space="preserve">1. </w:t>
      </w:r>
      <w:r>
        <w:t xml:space="preserve">Figura 1 y Figura 2 (hecho 1, con la barra extranjera por matriz) más la Tabla 32/33 de sectores.</w:t>
      </w:r>
    </w:p>
    <w:p>
      <w:pPr>
        <w:pStyle w:val="ListParagraph"/>
        <w:numPr>
          <w:ilvl w:val="0"/>
          <w:numId w:val="2"/>
        </w:numPr>
        <w:spacing w:after="60"/>
      </w:pPr>
      <w:r>
        <w:rPr>
          <w:b/>
          <w:bCs/>
        </w:rPr>
        <w:t xml:space="preserve">2. </w:t>
      </w:r>
      <w:r>
        <w:t xml:space="preserve">Figura 4 (PCI original) con la Figura 6 (PCI por matriz) y la Tabla 4 / Figura 13 (Rauch dos clases), diciendo que el hecho 2 vive en manufactura.</w:t>
      </w:r>
    </w:p>
    <w:p>
      <w:pPr>
        <w:pStyle w:val="ListParagraph"/>
        <w:numPr>
          <w:ilvl w:val="0"/>
          <w:numId w:val="2"/>
        </w:numPr>
        <w:spacing w:after="60"/>
      </w:pPr>
      <w:r>
        <w:rPr>
          <w:b/>
          <w:bCs/>
        </w:rPr>
        <w:t xml:space="preserve">3. </w:t>
      </w:r>
      <w:r>
        <w:t xml:space="preserve">Figura 14 / Tabla 7 (ranking de matrices) con la Tabla 12 (matriz × destino) y la Figura 18 (parte exportada al país de la matriz, total y por sector).</w:t>
      </w:r>
    </w:p>
    <w:p>
      <w:pPr>
        <w:pStyle w:val="ListParagraph"/>
        <w:numPr>
          <w:ilvl w:val="0"/>
          <w:numId w:val="2"/>
        </w:numPr>
        <w:spacing w:after="60"/>
      </w:pPr>
      <w:r>
        <w:rPr>
          <w:b/>
          <w:bCs/>
        </w:rPr>
        <w:t xml:space="preserve">4. </w:t>
      </w:r>
      <w:r>
        <w:t xml:space="preserve">Una figura nueva: participación de las MNE de EE. UU. en las exportaciones de cada país a EE. UU., total y manufactura (CRI 54 %, SLV 47 %, DOM 31 %), y la lista de productos que van a casa.</w:t>
      </w:r>
    </w:p>
    <w:p>
      <w:pPr>
        <w:pStyle w:val="ListParagraph"/>
        <w:numPr>
          <w:ilvl w:val="0"/>
          <w:numId w:val="2"/>
        </w:numPr>
        <w:spacing w:after="60"/>
      </w:pPr>
      <w:r>
        <w:rPr>
          <w:b/>
          <w:bCs/>
        </w:rPr>
        <w:t xml:space="preserve">5. </w:t>
      </w:r>
      <w:r>
        <w:t xml:space="preserve">Figura 19 (tamaño de red) con una frase sobre HHI.</w:t>
      </w:r>
    </w:p>
    <w:p>
      <w:pPr>
        <w:pStyle w:val="ListParagraph"/>
        <w:numPr>
          <w:ilvl w:val="0"/>
          <w:numId w:val="2"/>
        </w:numPr>
        <w:spacing w:after="60"/>
      </w:pPr>
      <w:r>
        <w:rPr>
          <w:b/>
          <w:bCs/>
        </w:rPr>
        <w:t xml:space="preserve">6. </w:t>
      </w:r>
      <w:r>
        <w:t xml:space="preserve">Tabla 20 y Tabla 22 (hecho 5 y su descomposición), más la tabla resumen sectorial de cuatro columnas.</w:t>
      </w:r>
    </w:p>
    <w:p>
      <w:pPr>
        <w:pStyle w:val="ListParagraph"/>
        <w:numPr>
          <w:ilvl w:val="0"/>
          <w:numId w:val="2"/>
        </w:numPr>
        <w:spacing w:after="60"/>
      </w:pPr>
      <w:r>
        <w:rPr>
          <w:b/>
          <w:bCs/>
        </w:rPr>
        <w:t xml:space="preserve">7. </w:t>
      </w:r>
      <w:r>
        <w:t xml:space="preserve">Tabla 24 y Tabla 25 (hecho 6 y su descomposición), más la misma tabla resumen sectorial.</w:t>
      </w:r>
    </w:p>
    <w:p>
      <w:pPr>
        <w:pStyle w:val="ListParagraph"/>
        <w:numPr>
          <w:ilvl w:val="0"/>
          <w:numId w:val="2"/>
        </w:numPr>
        <w:spacing w:after="60"/>
      </w:pPr>
      <w:r>
        <w:rPr>
          <w:b/>
          <w:bCs/>
        </w:rPr>
        <w:t xml:space="preserve">8. </w:t>
      </w:r>
      <w:r>
        <w:t xml:space="preserve">Figuras 21–22 y Tabla 26 (productos y secciones).</w:t>
      </w:r>
    </w:p>
    <w:p>
      <w:pPr>
        <w:pStyle w:val="ListParagraph"/>
        <w:numPr>
          <w:ilvl w:val="0"/>
          <w:numId w:val="2"/>
        </w:numPr>
        <w:spacing w:after="60"/>
      </w:pPr>
      <w:r>
        <w:rPr>
          <w:b/>
          <w:bCs/>
        </w:rPr>
        <w:t xml:space="preserve">9. </w:t>
      </w:r>
      <w:r>
        <w:t xml:space="preserve">Una tabla por sector de subclasificación: SITC en agricultura, secciones HS y BEC en manufactura, BEC o SITC en minería.</w:t>
      </w:r>
    </w:p>
    <w:p>
      <w:pPr>
        <w:spacing w:after="120"/>
      </w:pPr>
      <w:r>
        <w:t xml:space="preserve">Todo lo demás queda disponible en los tres documentos de Overleaf como apéndice o respaldo, y las cifras nuevas de la sección 1.2 (quién exporta a EE. UU.) se pueden añadir al pipeline en una tarde.</w:t>
      </w:r>
    </w:p>
    <w:sectPr>
      <w:pgSz w:w="12240" w:h="15840"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b/>
      <w:bCs/>
      <w:color w:val="1F3864"/>
      <w:sz w:val="30"/>
      <w:szCs w:val="30"/>
    </w:rPr>
  </w:style>
  <w:style w:type="paragraph" w:styleId="Heading2">
    <w:name w:val="Heading 2"/>
    <w:basedOn w:val="Normal"/>
    <w:next w:val="Normal"/>
    <w:qFormat/>
    <w:pPr>
      <w:spacing w:after="100" w:before="240"/>
      <w:outlineLvl w:val="1"/>
    </w:pPr>
    <w:rPr>
      <w:b/>
      <w:bCs/>
      <w:color w:val="1F3864"/>
      <w:sz w:val="26"/>
      <w:szCs w:val="26"/>
    </w:rPr>
  </w:style>
  <w:style w:type="paragraph" w:styleId="Heading3">
    <w:name w:val="Heading 3"/>
    <w:basedOn w:val="Normal"/>
    <w:next w:val="Normal"/>
    <w:qFormat/>
    <w:pPr>
      <w:spacing w:after="80" w:before="180"/>
      <w:outlineLvl w:val="2"/>
    </w:pPr>
    <w:rPr>
      <w:b/>
      <w:bCs/>
      <w:i/>
      <w:iCs/>
      <w:color w:val="365C9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2026-09-14T19:58:19.306Z</dcterms:created>
  <dcterms:modified xsi:type="dcterms:W3CDTF">2026-09-14T19:58:19.307Z</dcterms:modified>
</cp:coreProperties>
</file>

<file path=docProps/custom.xml><?xml version="1.0" encoding="utf-8"?>
<Properties xmlns="http://schemas.openxmlformats.org/officeDocument/2006/custom-properties" xmlns:vt="http://schemas.openxmlformats.org/officeDocument/2006/docPropsVTypes"/>
</file>