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F478" w14:textId="39976A17" w:rsidR="009E7CCF" w:rsidRPr="00B80F36" w:rsidRDefault="00000000" w:rsidP="003B1DE6">
      <w:pPr>
        <w:spacing w:before="80"/>
        <w:jc w:val="center"/>
        <w:rPr>
          <w:lang w:val="es-CO"/>
        </w:rPr>
      </w:pPr>
      <w:r w:rsidRPr="00B80F36">
        <w:rPr>
          <w:b/>
          <w:bCs/>
          <w:sz w:val="32"/>
          <w:szCs w:val="32"/>
          <w:lang w:val="es-CO"/>
        </w:rPr>
        <w:t>Multinacionales y comercio en América Latina</w:t>
      </w:r>
    </w:p>
    <w:p w14:paraId="01D69E60" w14:textId="705B3DA1" w:rsidR="009E7CCF" w:rsidRPr="00B80F36" w:rsidRDefault="00000000" w:rsidP="003B1DE6">
      <w:pPr>
        <w:spacing w:before="80"/>
        <w:jc w:val="center"/>
        <w:rPr>
          <w:lang w:val="es-CO"/>
        </w:rPr>
      </w:pPr>
      <w:r w:rsidRPr="00B80F36">
        <w:rPr>
          <w:i/>
          <w:iCs/>
          <w:sz w:val="20"/>
          <w:szCs w:val="20"/>
          <w:lang w:val="es-CO"/>
        </w:rPr>
        <w:t>Borrador para discusión</w:t>
      </w:r>
    </w:p>
    <w:p w14:paraId="2186893E" w14:textId="25BC50EF" w:rsidR="009E7CCF" w:rsidRPr="00B80F36" w:rsidRDefault="00000000" w:rsidP="003B1DE6">
      <w:pPr>
        <w:spacing w:before="80"/>
        <w:jc w:val="both"/>
        <w:rPr>
          <w:lang w:val="es-CO"/>
        </w:rPr>
      </w:pPr>
      <w:r w:rsidRPr="00B80F36">
        <w:rPr>
          <w:lang w:val="es-CO"/>
        </w:rPr>
        <w:t>MOSTRAR (entra al borrador del WP), APOYO / APÉNDICE (sirve de respaldo o de nota al pie, no como figura principal) o NO MOSTRAR (no aporta o confunde).</w:t>
      </w:r>
    </w:p>
    <w:p w14:paraId="414BC420" w14:textId="30541BD4" w:rsidR="009E7CCF" w:rsidRPr="00B80F36" w:rsidRDefault="003B1DE6" w:rsidP="003B1DE6">
      <w:pPr>
        <w:spacing w:before="80"/>
        <w:jc w:val="both"/>
        <w:rPr>
          <w:lang w:val="es-CO"/>
        </w:rPr>
      </w:pPr>
      <w:proofErr w:type="spellStart"/>
      <w:r>
        <w:rPr>
          <w:lang w:val="es-CO"/>
        </w:rPr>
        <w:t>Matched</w:t>
      </w:r>
      <w:proofErr w:type="spellEnd"/>
      <w:r w:rsidRPr="00B80F36">
        <w:rPr>
          <w:lang w:val="es-CO"/>
        </w:rPr>
        <w:t xml:space="preserve"> = la firma está en Orbis o D&amp;B; MNE doméstica = casa matriz en el país exportador; MNE extranjera = </w:t>
      </w:r>
      <w:proofErr w:type="spellStart"/>
      <w:r w:rsidRPr="00B80F36">
        <w:rPr>
          <w:lang w:val="es-CO"/>
        </w:rPr>
        <w:t>matched</w:t>
      </w:r>
      <w:proofErr w:type="spellEnd"/>
      <w:r w:rsidRPr="00B80F36">
        <w:rPr>
          <w:lang w:val="es-CO"/>
        </w:rPr>
        <w:t xml:space="preserve"> menos doméstica; nueve orígenes (Ecuador excluido); 2006–2022 agregado. Sectores: agricultura HS 01–24, minería y combustibles HS 25–27 y 71, manufactura HS 28–97 sin 71, resto HS 98–99 y códigos no clasificables</w:t>
      </w:r>
      <w:r w:rsidR="006F7909">
        <w:rPr>
          <w:lang w:val="es-CO"/>
        </w:rPr>
        <w:t>.</w:t>
      </w:r>
    </w:p>
    <w:p w14:paraId="12AFDDBD" w14:textId="77777777" w:rsidR="009E7CCF" w:rsidRPr="00B80F36" w:rsidRDefault="00000000" w:rsidP="003B1DE6">
      <w:pPr>
        <w:pStyle w:val="Heading1"/>
        <w:spacing w:before="80" w:after="0"/>
        <w:jc w:val="both"/>
        <w:rPr>
          <w:lang w:val="es-CO"/>
        </w:rPr>
      </w:pPr>
      <w:r w:rsidRPr="00B80F36">
        <w:rPr>
          <w:lang w:val="es-CO"/>
        </w:rPr>
        <w:t>1. Generalidades</w:t>
      </w:r>
    </w:p>
    <w:p w14:paraId="7FDA5487" w14:textId="77777777" w:rsidR="009E7CCF" w:rsidRPr="00B80F36" w:rsidRDefault="00000000" w:rsidP="003B1DE6">
      <w:pPr>
        <w:pStyle w:val="Heading2"/>
        <w:spacing w:before="80" w:after="0"/>
        <w:jc w:val="both"/>
        <w:rPr>
          <w:lang w:val="es-CO"/>
        </w:rPr>
      </w:pPr>
      <w:r w:rsidRPr="00B80F36">
        <w:rPr>
          <w:lang w:val="es-CO"/>
        </w:rPr>
        <w:t>1.1 ¿Se cumplen los seis hechos estilizados por sector?</w:t>
      </w:r>
    </w:p>
    <w:p w14:paraId="22944EA2" w14:textId="77777777" w:rsidR="009E7CCF" w:rsidRPr="00B80F36" w:rsidRDefault="00000000" w:rsidP="003B1DE6">
      <w:pPr>
        <w:pStyle w:val="ListParagraph"/>
        <w:numPr>
          <w:ilvl w:val="0"/>
          <w:numId w:val="2"/>
        </w:numPr>
        <w:spacing w:before="80"/>
        <w:jc w:val="both"/>
        <w:rPr>
          <w:lang w:val="es-CO"/>
        </w:rPr>
      </w:pPr>
      <w:r w:rsidRPr="00B80F36">
        <w:rPr>
          <w:b/>
          <w:bCs/>
          <w:lang w:val="es-CO"/>
        </w:rPr>
        <w:t xml:space="preserve">Hecho 1 (las MNE explican una parte grande de las exportaciones; extranjeras ≫ domésticas). </w:t>
      </w:r>
      <w:r w:rsidRPr="00B80F36">
        <w:rPr>
          <w:lang w:val="es-CO"/>
        </w:rPr>
        <w:t>Se cumple en el total y en los tres sectores: en los nueve orígenes las MNE mueven entre 47 % (PER) y 74 % (COL) del valor exportado. La segunda parte del hecho (extranjeras muy por encima de domésticas) se cumple en todos los orígenes menos Colombia (35 % extranjera vs 39 % doméstica) y se debilita en Chile (48 vs 14). En minería la excepción colombiana es enorme (30 % extranjera vs 55 % doméstica: petróleo) y en agricultura Chile queda en 30 vs 19. La lectura correcta es que la presencia doméstica relevante es un fenómeno de recursos naturales de dos países (petróleo colombiano, cobre y celulosa chilenos), no un rasgo regional.</w:t>
      </w:r>
    </w:p>
    <w:p w14:paraId="2E996DB3" w14:textId="6DCFA46D" w:rsidR="009E7CCF" w:rsidRPr="00B80F36" w:rsidRDefault="00000000" w:rsidP="003B1DE6">
      <w:pPr>
        <w:pStyle w:val="ListParagraph"/>
        <w:numPr>
          <w:ilvl w:val="0"/>
          <w:numId w:val="2"/>
        </w:numPr>
        <w:spacing w:before="80"/>
        <w:jc w:val="both"/>
        <w:rPr>
          <w:lang w:val="es-CO"/>
        </w:rPr>
      </w:pPr>
      <w:r w:rsidRPr="00B80F36">
        <w:rPr>
          <w:b/>
          <w:bCs/>
          <w:lang w:val="es-CO"/>
        </w:rPr>
        <w:t xml:space="preserve">Hecho 2 (extranjeras en productos complejos, domésticas en primarios). </w:t>
      </w:r>
      <w:r w:rsidRPr="00B80F36">
        <w:rPr>
          <w:lang w:val="es-CO"/>
        </w:rPr>
        <w:t xml:space="preserve">Se cumple para el total y con más claridad dentro de manufactura (participación extranjera por quintil de PCI: 0,39 → 0,68); en agricultura es ruidoso (0,29; 0,49; 0,38; 0,42; 0,55: el extremo inferior y el superior van en la dirección correcta, el medio no) y en minería no se cumple (hay 208 productos y los quintiles no ordenan nada). </w:t>
      </w:r>
    </w:p>
    <w:p w14:paraId="4F12457E" w14:textId="2EC9CEF1" w:rsidR="009E7CCF" w:rsidRPr="00721629" w:rsidRDefault="00000000" w:rsidP="003B1DE6">
      <w:pPr>
        <w:pStyle w:val="ListParagraph"/>
        <w:numPr>
          <w:ilvl w:val="0"/>
          <w:numId w:val="2"/>
        </w:numPr>
        <w:spacing w:before="80"/>
        <w:jc w:val="both"/>
        <w:rPr>
          <w:lang w:val="es-CO"/>
        </w:rPr>
      </w:pPr>
      <w:r w:rsidRPr="00B80F36">
        <w:rPr>
          <w:b/>
          <w:bCs/>
          <w:lang w:val="es-CO"/>
        </w:rPr>
        <w:t xml:space="preserve">Hecho 3 (pocos países de origen de las matrices dominan). </w:t>
      </w:r>
      <w:r w:rsidRPr="00B80F36">
        <w:rPr>
          <w:lang w:val="es-CO"/>
        </w:rPr>
        <w:t>Se cumple en todos los sectores y es aún más fuerte por sector que en el total. Total: USA 23,3 %, GBR 19,3 %, CAN 7,8 % (los tres = 50 %; los diez primeros = 77 %). Agricultura: USA 24 %, CHE 11 %, NLD 9,5 %, LIE 7,6 % (las casas de comercio de granos y sus jurisdicciones de tenencia). Manufactura: USA 25 %, GBR 14 %, DEU 9 %, JPN 7 %. Minería: GBR 36 %, USA 21 %, CAN 15,5 % (los tres = 73 %).</w:t>
      </w:r>
    </w:p>
    <w:p w14:paraId="0B00C7F8"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Hecho 4 (pocos grupos grandes concentran el valor). </w:t>
      </w:r>
      <w:r w:rsidRPr="00B80F36">
        <w:rPr>
          <w:lang w:val="es-CO"/>
        </w:rPr>
        <w:t>Se cumple en todos: las matrices con más de 100 filiales son 9 % de las matrices y 56 % del valor extranjero en el total; 65 % en manufactura, 51 % en minería, 50 % en agricultura. El efecto de agrupar filiales por matriz sobre la concentración por producto es modesto (HHI medio 0,19 → 0,22) y mayor en minería (0,18 → 0,23).</w:t>
      </w:r>
    </w:p>
    <w:p w14:paraId="38043CBA" w14:textId="083CCF95" w:rsidR="009E7CCF" w:rsidRPr="00B80F36" w:rsidRDefault="00000000" w:rsidP="006C16F1">
      <w:pPr>
        <w:pStyle w:val="ListParagraph"/>
        <w:numPr>
          <w:ilvl w:val="0"/>
          <w:numId w:val="2"/>
        </w:numPr>
        <w:spacing w:before="80"/>
        <w:jc w:val="both"/>
        <w:rPr>
          <w:lang w:val="es-CO"/>
        </w:rPr>
      </w:pPr>
      <w:r w:rsidRPr="00B80F36">
        <w:rPr>
          <w:b/>
          <w:bCs/>
          <w:lang w:val="es-CO"/>
        </w:rPr>
        <w:t xml:space="preserve">Hecho 5 (más presencia de MNE, más comercio). </w:t>
      </w:r>
      <w:r w:rsidRPr="00B80F36">
        <w:rPr>
          <w:lang w:val="es-CO"/>
        </w:rPr>
        <w:t>Se cumple en todos los sectores</w:t>
      </w:r>
      <w:r w:rsidR="00640B13">
        <w:rPr>
          <w:lang w:val="es-CO"/>
        </w:rPr>
        <w:t>. L</w:t>
      </w:r>
      <w:r w:rsidRPr="00B80F36">
        <w:rPr>
          <w:lang w:val="es-CO"/>
        </w:rPr>
        <w:t>a elasticidad de las exportaciones de la celda origen-destino-producto-año al número de MNE es mucho mayor para las extranjeras (1,21) que para las domésticas (0,44), y lo mismo ocurre con las exportaciones de las firmas NO multinacionales de la celda (1,13 vs 0,47). El patrón se repite en agricultura (1,30 vs 0,52), manufactura (1,16 vs 0,38) y minería (1,13 vs 0,32, este último no significativo). En el margen extensivo (presencia sí/no) extranjeras y domésticas se parecen (1,50 vs 1,47): lo que distingue a las extranjeras es la intensidad, no la presencia.</w:t>
      </w:r>
    </w:p>
    <w:p w14:paraId="159A77ED" w14:textId="2F494CF0" w:rsidR="009E7CCF" w:rsidRDefault="00000000" w:rsidP="006C16F1">
      <w:pPr>
        <w:pStyle w:val="ListParagraph"/>
        <w:numPr>
          <w:ilvl w:val="0"/>
          <w:numId w:val="2"/>
        </w:numPr>
        <w:spacing w:before="80"/>
        <w:jc w:val="both"/>
        <w:rPr>
          <w:lang w:val="es-CO"/>
        </w:rPr>
      </w:pPr>
      <w:r w:rsidRPr="00B80F36">
        <w:rPr>
          <w:b/>
          <w:bCs/>
          <w:lang w:val="es-CO"/>
        </w:rPr>
        <w:t xml:space="preserve">Hecho 6 (la distancia frena menos a las MNE). </w:t>
      </w:r>
      <w:r w:rsidRPr="00B80F36">
        <w:rPr>
          <w:lang w:val="es-CO"/>
        </w:rPr>
        <w:t>Se cumple en el total, agricultura y manufactura, con atenuación mayor para las extranjeras que para las domésticas (total 0,049 vs 0,032 sobre una elasticidad base de −0,16</w:t>
      </w:r>
      <w:r w:rsidR="00640B13">
        <w:rPr>
          <w:lang w:val="es-CO"/>
        </w:rPr>
        <w:t>).</w:t>
      </w:r>
      <w:r w:rsidRPr="00B80F36">
        <w:rPr>
          <w:lang w:val="es-CO"/>
        </w:rPr>
        <w:t xml:space="preserve"> </w:t>
      </w:r>
      <w:r w:rsidR="00640B13">
        <w:rPr>
          <w:lang w:val="es-CO"/>
        </w:rPr>
        <w:t>A</w:t>
      </w:r>
      <w:r w:rsidRPr="00B80F36">
        <w:rPr>
          <w:lang w:val="es-CO"/>
        </w:rPr>
        <w:t xml:space="preserve">gricultura 0,037 vs 0,019; manufactura 0,052 vs 0,039. En minería la distancia casi no importa para nadie (elasticidad base −0,09, no significativa): son </w:t>
      </w:r>
      <w:proofErr w:type="spellStart"/>
      <w:r w:rsidRPr="00B80F36">
        <w:rPr>
          <w:lang w:val="es-CO"/>
        </w:rPr>
        <w:t>commodities</w:t>
      </w:r>
      <w:proofErr w:type="spellEnd"/>
      <w:r w:rsidRPr="00B80F36">
        <w:rPr>
          <w:lang w:val="es-CO"/>
        </w:rPr>
        <w:t xml:space="preserve"> que van a donde está la demanda.</w:t>
      </w:r>
    </w:p>
    <w:p w14:paraId="242A39A1" w14:textId="77777777" w:rsidR="003B1DE6" w:rsidRPr="00B80F36" w:rsidRDefault="003B1DE6" w:rsidP="006C16F1">
      <w:pPr>
        <w:pStyle w:val="ListParagraph"/>
        <w:spacing w:before="80"/>
        <w:ind w:left="540"/>
        <w:jc w:val="both"/>
        <w:rPr>
          <w:lang w:val="es-CO"/>
        </w:rPr>
      </w:pPr>
    </w:p>
    <w:p w14:paraId="61F77618" w14:textId="77777777" w:rsidR="009E7CCF" w:rsidRPr="00B80F36" w:rsidRDefault="00000000" w:rsidP="006C16F1">
      <w:pPr>
        <w:pStyle w:val="Heading2"/>
        <w:spacing w:before="80" w:after="0"/>
        <w:jc w:val="both"/>
        <w:rPr>
          <w:lang w:val="es-CO"/>
        </w:rPr>
      </w:pPr>
      <w:r w:rsidRPr="00B80F36">
        <w:rPr>
          <w:lang w:val="es-CO"/>
        </w:rPr>
        <w:lastRenderedPageBreak/>
        <w:t>1.2 La historia de las multinacionales de Estados Unidos</w:t>
      </w:r>
    </w:p>
    <w:p w14:paraId="0A4E7A28" w14:textId="77777777" w:rsidR="009E7CCF" w:rsidRPr="00B80F36" w:rsidRDefault="00000000" w:rsidP="006C16F1">
      <w:pPr>
        <w:pStyle w:val="ListParagraph"/>
        <w:numPr>
          <w:ilvl w:val="0"/>
          <w:numId w:val="2"/>
        </w:numPr>
        <w:spacing w:before="80"/>
        <w:jc w:val="both"/>
        <w:rPr>
          <w:lang w:val="es-CO"/>
        </w:rPr>
      </w:pPr>
      <w:r w:rsidRPr="00B80F36">
        <w:rPr>
          <w:lang w:val="es-CO"/>
        </w:rPr>
        <w:t>Las MNE con matriz en EE. UU. exportan US$ 239 mm desde los nueve países: 23,3 % del valor extranjero con matriz conocida y 10 % de todas las exportaciones. Son el primer inversor en agricultura (24 % del valor extranjero), manufactura (25 %) y el segundo en minería (21 %, detrás de GBR).</w:t>
      </w:r>
    </w:p>
    <w:p w14:paraId="7FB109FF" w14:textId="77777777" w:rsidR="009E7CCF" w:rsidRPr="00B80F36" w:rsidRDefault="00000000" w:rsidP="006C16F1">
      <w:pPr>
        <w:pStyle w:val="ListParagraph"/>
        <w:numPr>
          <w:ilvl w:val="0"/>
          <w:numId w:val="2"/>
        </w:numPr>
        <w:spacing w:before="80"/>
        <w:jc w:val="both"/>
        <w:rPr>
          <w:lang w:val="es-CO"/>
        </w:rPr>
      </w:pPr>
      <w:r w:rsidRPr="00B80F36">
        <w:rPr>
          <w:lang w:val="es-CO"/>
        </w:rPr>
        <w:t>Su peso en las exportaciones totales de cada país es muy desigual: Costa Rica 30 %, Paraguay 30 %, El Salvador 28 %, República Dominicana 17 %, Colombia 12 %, Argentina 8 %, Perú 8 %, Uruguay 5 %, Chile 3 % (Figura 2). Por sector: manufactura de Costa Rica 42 %, El Salvador 35 %, República Dominicana 26 %; agricultura de Paraguay 35 %; minería de Colombia 14 % y Perú 11 %.</w:t>
      </w:r>
    </w:p>
    <w:p w14:paraId="45D9880D" w14:textId="23BEEF58" w:rsidR="009E7CCF" w:rsidRPr="00B80F36" w:rsidRDefault="00000000" w:rsidP="006C16F1">
      <w:pPr>
        <w:pStyle w:val="ListParagraph"/>
        <w:numPr>
          <w:ilvl w:val="0"/>
          <w:numId w:val="2"/>
        </w:numPr>
        <w:spacing w:before="80"/>
        <w:jc w:val="both"/>
        <w:rPr>
          <w:lang w:val="es-CO"/>
        </w:rPr>
      </w:pPr>
      <w:r w:rsidRPr="00B80F36">
        <w:rPr>
          <w:lang w:val="es-CO"/>
        </w:rPr>
        <w:t>Lo distintivo de las MNE de EE. UU. es a dónde exportan: 22 % de lo que exportan desde ALC va a Estados Unidos (Figura 19). Ningún otro gran inversor exporta a su casa: GBR 0,6 %, LIE 0 %, CHE 0,3 %, NLD 2 %, DEU 8 %, JPN 9 %. Solo CAN (20 %: oro) y BRA (19 %) se acercan.</w:t>
      </w:r>
    </w:p>
    <w:p w14:paraId="0D48AF9B" w14:textId="7772598A" w:rsidR="009E7CCF" w:rsidRPr="00B80F36" w:rsidRDefault="00000000" w:rsidP="006C16F1">
      <w:pPr>
        <w:pStyle w:val="ListParagraph"/>
        <w:numPr>
          <w:ilvl w:val="0"/>
          <w:numId w:val="2"/>
        </w:numPr>
        <w:spacing w:before="80"/>
        <w:jc w:val="both"/>
        <w:rPr>
          <w:lang w:val="es-CO"/>
        </w:rPr>
      </w:pPr>
      <w:r w:rsidRPr="00B80F36">
        <w:rPr>
          <w:lang w:val="es-CO"/>
        </w:rPr>
        <w:t>Qué mandan a casa: textiles y confección (27 % del valor que va a EE. UU.; el 76 % de lo que exportan en esa sección va a EE. UU.), instrumentos médicos y de precisión (19 %; 72 % a casa), maquinaria y eléctricos (10 %; 36 %</w:t>
      </w:r>
      <w:r w:rsidR="00991191" w:rsidRPr="00B80F36">
        <w:rPr>
          <w:lang w:val="es-CO"/>
        </w:rPr>
        <w:t xml:space="preserve"> a casa</w:t>
      </w:r>
      <w:r w:rsidRPr="00B80F36">
        <w:rPr>
          <w:lang w:val="es-CO"/>
        </w:rPr>
        <w:t>), plásticos y caucho (6 %; 35 %</w:t>
      </w:r>
      <w:r w:rsidR="00991191" w:rsidRPr="00B80F36">
        <w:rPr>
          <w:lang w:val="es-CO"/>
        </w:rPr>
        <w:t xml:space="preserve"> a casa</w:t>
      </w:r>
      <w:r w:rsidRPr="00B80F36">
        <w:rPr>
          <w:lang w:val="es-CO"/>
        </w:rPr>
        <w:t>). Los productos concretos: camisetas de algodón (US$ 5,9 mm; las MNE de EE. UU. mueven 52 % de lo que ALC exporta de ese producto a EE. UU.), catéteres y cánulas (US$ 5,1 mm; 83 %), instrumentos médicos (US$ 3,6 mm; 43 %), circuitos integrados (US$ 2,1 mm; 95 %), neumáticos (US$ 1,8 mm; 63 %), ropa interior y medias (más de 85 %).</w:t>
      </w:r>
    </w:p>
    <w:p w14:paraId="388583A2" w14:textId="5BCF12FB" w:rsidR="009E7CCF" w:rsidRPr="00B80F36" w:rsidRDefault="00000000" w:rsidP="006C16F1">
      <w:pPr>
        <w:pStyle w:val="ListParagraph"/>
        <w:numPr>
          <w:ilvl w:val="0"/>
          <w:numId w:val="2"/>
        </w:numPr>
        <w:spacing w:before="80"/>
        <w:jc w:val="both"/>
        <w:rPr>
          <w:lang w:val="es-CO"/>
        </w:rPr>
      </w:pPr>
      <w:r w:rsidRPr="00B80F36">
        <w:rPr>
          <w:lang w:val="es-CO"/>
        </w:rPr>
        <w:t>Mirado desde el destino: de los US$ 440 mm que los nueve países exportan a Estados Unidos, las MNE de EE. UU. mueven 12 %, otras MNE extranjeras 23 %, las domésticas 24 % (</w:t>
      </w:r>
      <w:r w:rsidR="00991191">
        <w:rPr>
          <w:lang w:val="es-CO"/>
        </w:rPr>
        <w:t xml:space="preserve">principalmente </w:t>
      </w:r>
      <w:r w:rsidRPr="00B80F36">
        <w:rPr>
          <w:lang w:val="es-CO"/>
        </w:rPr>
        <w:t xml:space="preserve">petróleo colombiano) y las firmas locales 40 %. Pero en manufactura las MNE de EE. UU. mueven 25 % de lo que va a EE. UU., y por país 54 % en Costa Rica, 47 % en El Salvador y 31 % en República Dominicana. Es la evidencia más directa de integración </w:t>
      </w:r>
      <w:r w:rsidR="00991191">
        <w:rPr>
          <w:lang w:val="es-CO"/>
        </w:rPr>
        <w:t>vertical</w:t>
      </w:r>
      <w:r w:rsidRPr="00B80F36">
        <w:rPr>
          <w:lang w:val="es-CO"/>
        </w:rPr>
        <w:t xml:space="preserve"> que tenemos.</w:t>
      </w:r>
    </w:p>
    <w:p w14:paraId="7517ABC6" w14:textId="77777777" w:rsidR="009E7CCF" w:rsidRPr="00B80F36" w:rsidRDefault="00000000" w:rsidP="006C16F1">
      <w:pPr>
        <w:pStyle w:val="ListParagraph"/>
        <w:numPr>
          <w:ilvl w:val="0"/>
          <w:numId w:val="2"/>
        </w:numPr>
        <w:spacing w:before="80"/>
        <w:jc w:val="both"/>
        <w:rPr>
          <w:lang w:val="es-CO"/>
        </w:rPr>
      </w:pPr>
      <w:r w:rsidRPr="00B80F36">
        <w:rPr>
          <w:lang w:val="es-CO"/>
        </w:rPr>
        <w:t>El contraste sirve también para el resto de la historia: de los US$ 332 mm que ALC exporta a China, el 44 % lo mueven MNE extranjeras no estadounidenses (GBR, LIE, PAN, CAN: minerales de cobre y hierro, cátodos de cobre y celulosa) y las MNE con matriz china el 0,3 %. China compra a través de multinacionales occidentales, no de las propias. Hacia la UE-27, las MNE con matriz europea mueven 8 % y las de EE. UU. otro 9 %.</w:t>
      </w:r>
    </w:p>
    <w:p w14:paraId="2825C78A" w14:textId="4EA0125B" w:rsidR="009E7CCF" w:rsidRPr="00B80F36" w:rsidRDefault="00000000" w:rsidP="006C16F1">
      <w:pPr>
        <w:pStyle w:val="Heading2"/>
        <w:numPr>
          <w:ilvl w:val="1"/>
          <w:numId w:val="3"/>
        </w:numPr>
        <w:spacing w:before="80" w:after="0"/>
        <w:jc w:val="both"/>
        <w:rPr>
          <w:lang w:val="es-CO"/>
        </w:rPr>
      </w:pPr>
      <w:r w:rsidRPr="00B80F36">
        <w:rPr>
          <w:lang w:val="es-CO"/>
        </w:rPr>
        <w:t>Las relaciones más interesantes para el WP, en orden</w:t>
      </w:r>
    </w:p>
    <w:p w14:paraId="06834E8A" w14:textId="0B745A74" w:rsidR="00944D26" w:rsidRDefault="00000000" w:rsidP="006C16F1">
      <w:pPr>
        <w:pStyle w:val="ListParagraph"/>
        <w:numPr>
          <w:ilvl w:val="0"/>
          <w:numId w:val="2"/>
        </w:numPr>
        <w:spacing w:before="80"/>
        <w:jc w:val="both"/>
        <w:rPr>
          <w:lang w:val="es-CO"/>
        </w:rPr>
      </w:pPr>
      <w:r w:rsidRPr="00B80F36">
        <w:rPr>
          <w:lang w:val="es-CO"/>
        </w:rPr>
        <w:t>La nacionalidad de la matriz predice el destino solo para EE. UU.</w:t>
      </w:r>
      <w:r w:rsidR="00991191" w:rsidRPr="00B80F36">
        <w:rPr>
          <w:lang w:val="es-CO"/>
        </w:rPr>
        <w:t>/</w:t>
      </w:r>
      <w:r w:rsidRPr="00B80F36">
        <w:rPr>
          <w:lang w:val="es-CO"/>
        </w:rPr>
        <w:t xml:space="preserve">CAN/BRA: el hecho 3 no es solo "pocos países", sino "pocos países con estrategias distintas": GBR y LIE (cobre, carbón) venden 36 % y 25 % a China; DEU, JPN y NLD (autos, químicos) venden 27–45 % a Brasil desde Argentina (plataforma Mercosur); EE. UU. vende 22 % a EE. UU. </w:t>
      </w:r>
      <w:r w:rsidRPr="00991191">
        <w:rPr>
          <w:lang w:val="es-CO"/>
        </w:rPr>
        <w:t>(y 41 % en manufactura)</w:t>
      </w:r>
      <w:r w:rsidRPr="00B80F36">
        <w:rPr>
          <w:lang w:val="es-CO"/>
        </w:rPr>
        <w:t xml:space="preserve"> Tabla 13 y Figura 19.</w:t>
      </w:r>
    </w:p>
    <w:p w14:paraId="4DA629B0" w14:textId="35B54776" w:rsidR="009E7CCF" w:rsidRPr="00944D26" w:rsidRDefault="00944D26" w:rsidP="006C16F1">
      <w:pPr>
        <w:pStyle w:val="ListParagraph"/>
        <w:numPr>
          <w:ilvl w:val="0"/>
          <w:numId w:val="2"/>
        </w:numPr>
        <w:spacing w:before="80"/>
        <w:jc w:val="both"/>
        <w:rPr>
          <w:lang w:val="es-CO"/>
        </w:rPr>
      </w:pPr>
      <w:r w:rsidRPr="00944D26">
        <w:rPr>
          <w:lang w:val="es-CO"/>
        </w:rPr>
        <w:t>La asociación entre presencia de MNE y exportaciones, y en particular las exportaciones de las firmas locales, es tres veces mayor con MNE extranjeras que con domésticas, y es robusta a los tres sectores (Tabla 29 y sus versiones sectoriales).</w:t>
      </w:r>
    </w:p>
    <w:p w14:paraId="7A9A236B" w14:textId="54C9527D" w:rsidR="009E7CCF" w:rsidRPr="00B80F36" w:rsidRDefault="00000000" w:rsidP="006C16F1">
      <w:pPr>
        <w:pStyle w:val="ListParagraph"/>
        <w:numPr>
          <w:ilvl w:val="0"/>
          <w:numId w:val="2"/>
        </w:numPr>
        <w:spacing w:before="80"/>
        <w:jc w:val="both"/>
        <w:rPr>
          <w:lang w:val="es-CO"/>
        </w:rPr>
      </w:pPr>
      <w:r w:rsidRPr="00B80F36">
        <w:rPr>
          <w:lang w:val="es-CO"/>
        </w:rPr>
        <w:t xml:space="preserve">El hecho 2 en dos clases de Rauch (Tabla 5 / Figura 14): las extranjeras tienen 56 % de los productos diferenciados y 43 % de los no diferenciados; las domésticas 6 % y 17 %. Dentro de manufactura 60 % vs 44 % (domésticas 5 % vs 10 %). </w:t>
      </w:r>
      <w:r w:rsidR="00944D26">
        <w:rPr>
          <w:lang w:val="es-CO"/>
        </w:rPr>
        <w:t>E</w:t>
      </w:r>
      <w:r w:rsidRPr="00B80F36">
        <w:rPr>
          <w:lang w:val="es-CO"/>
        </w:rPr>
        <w:t>n agricultura no hay gradiente (41 % vs 38 %).</w:t>
      </w:r>
    </w:p>
    <w:p w14:paraId="21BBBA10" w14:textId="0A28A26A" w:rsidR="009E7CCF" w:rsidRPr="00B80F36" w:rsidRDefault="00000000" w:rsidP="006C16F1">
      <w:pPr>
        <w:pStyle w:val="ListParagraph"/>
        <w:numPr>
          <w:ilvl w:val="0"/>
          <w:numId w:val="2"/>
        </w:numPr>
        <w:spacing w:before="80"/>
        <w:jc w:val="both"/>
        <w:rPr>
          <w:lang w:val="es-CO"/>
        </w:rPr>
      </w:pPr>
      <w:r w:rsidRPr="00B80F36">
        <w:rPr>
          <w:lang w:val="es-CO"/>
        </w:rPr>
        <w:t xml:space="preserve">Los productos (Figuras 26–27, Tabla 35): 15 productos HS6 son la mitad de las exportaciones de las MNE extranjeras; el mapa matriz-producto es </w:t>
      </w:r>
      <w:r w:rsidR="00944D26">
        <w:rPr>
          <w:lang w:val="es-CO"/>
        </w:rPr>
        <w:t>claro</w:t>
      </w:r>
      <w:r w:rsidRPr="00B80F36">
        <w:rPr>
          <w:lang w:val="es-CO"/>
        </w:rPr>
        <w:t xml:space="preserve"> (GBR cobre y carbón, CAN oro, USA soja, maíz y camisetas, DEU camiones, CHE torta de soja) y los productos con dominio doméstico son petróleo crudo (75 %), carbonato de litio (65 %) y celulosa.</w:t>
      </w:r>
    </w:p>
    <w:p w14:paraId="15140FAD" w14:textId="5E006CAE" w:rsidR="009E7CCF" w:rsidRPr="003B1DE6" w:rsidRDefault="00000000" w:rsidP="006C16F1">
      <w:pPr>
        <w:pStyle w:val="ListParagraph"/>
        <w:numPr>
          <w:ilvl w:val="0"/>
          <w:numId w:val="2"/>
        </w:numPr>
        <w:spacing w:before="80"/>
        <w:jc w:val="both"/>
        <w:rPr>
          <w:lang w:val="es-CO"/>
        </w:rPr>
      </w:pPr>
      <w:r w:rsidRPr="00B80F36">
        <w:rPr>
          <w:lang w:val="es-CO"/>
        </w:rPr>
        <w:t>Colombia: 55 % de la minería y 39 % del total es MNE doméstica por Ecopetrol; muchas cifras "domésticas" del total son Colombia. Cuando el WP hable de domésticas conviene mostrar siempre el total con y sin Colombia, o el sector minería aparte.</w:t>
      </w:r>
      <w:r w:rsidRPr="003B1DE6">
        <w:rPr>
          <w:lang w:val="es-CO"/>
        </w:rPr>
        <w:br w:type="page"/>
      </w:r>
    </w:p>
    <w:p w14:paraId="3DAA2D40" w14:textId="77777777" w:rsidR="009E7CCF" w:rsidRPr="00B80F36" w:rsidRDefault="00000000" w:rsidP="006C16F1">
      <w:pPr>
        <w:pStyle w:val="Heading1"/>
        <w:spacing w:before="80" w:after="0"/>
        <w:jc w:val="both"/>
        <w:rPr>
          <w:lang w:val="es-CO"/>
        </w:rPr>
      </w:pPr>
      <w:r w:rsidRPr="00B80F36">
        <w:rPr>
          <w:lang w:val="es-CO"/>
        </w:rPr>
        <w:lastRenderedPageBreak/>
        <w:t>2. Hecho 1 — Las MNE explican una parte grande de las exportaciones</w:t>
      </w:r>
    </w:p>
    <w:p w14:paraId="4496BC14" w14:textId="2AB3AE07" w:rsidR="009E7CCF" w:rsidRDefault="00000000" w:rsidP="006C16F1">
      <w:pPr>
        <w:pStyle w:val="ListParagraph"/>
        <w:numPr>
          <w:ilvl w:val="0"/>
          <w:numId w:val="2"/>
        </w:numPr>
        <w:spacing w:before="80"/>
        <w:jc w:val="both"/>
      </w:pPr>
      <w:r w:rsidRPr="00B80F36">
        <w:rPr>
          <w:b/>
          <w:bCs/>
          <w:lang w:val="es-CO"/>
        </w:rPr>
        <w:t xml:space="preserve">Figura 1 — MOSTRAR. </w:t>
      </w:r>
    </w:p>
    <w:p w14:paraId="65BA1E36" w14:textId="6F4DB80A"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 2 (barra extranjera partida por país de la matriz) — MOSTRAR. </w:t>
      </w:r>
      <w:r w:rsidRPr="00B80F36">
        <w:rPr>
          <w:lang w:val="es-CO"/>
        </w:rPr>
        <w:t>Es la figura que cuenta la geografía de la inversión: EE. UU. es el 30 % de TODO lo exportado por Costa Rica y Paraguay y el 28 % de El Salvador; Argentina es el origen más diversificado (NLD 5,5 %, CHE 4,8 %, DEU 4,5 %, LIE 3,9 %). China no aparece entre los diez primeros en ningún país.</w:t>
      </w:r>
    </w:p>
    <w:p w14:paraId="3025DA61"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 3 (mapa de calor origen × grupo de matriz) — NO MOSTRAR. </w:t>
      </w:r>
      <w:r w:rsidRPr="00B80F36">
        <w:rPr>
          <w:lang w:val="es-CO"/>
        </w:rPr>
        <w:t>Repite la Figura 2 en otro formato.</w:t>
      </w:r>
    </w:p>
    <w:p w14:paraId="37379022" w14:textId="77777777" w:rsidR="009E7CCF" w:rsidRPr="00B80F36" w:rsidRDefault="00000000" w:rsidP="006C16F1">
      <w:pPr>
        <w:pStyle w:val="ListParagraph"/>
        <w:numPr>
          <w:ilvl w:val="0"/>
          <w:numId w:val="2"/>
        </w:numPr>
        <w:spacing w:before="80"/>
        <w:jc w:val="both"/>
        <w:rPr>
          <w:lang w:val="es-CO"/>
        </w:rPr>
      </w:pPr>
      <w:proofErr w:type="spellStart"/>
      <w:r w:rsidRPr="00B80F36">
        <w:rPr>
          <w:b/>
          <w:bCs/>
          <w:lang w:val="es-CO"/>
        </w:rPr>
        <w:t>WP_sectors</w:t>
      </w:r>
      <w:proofErr w:type="spellEnd"/>
      <w:r w:rsidRPr="00B80F36">
        <w:rPr>
          <w:b/>
          <w:bCs/>
          <w:lang w:val="es-CO"/>
        </w:rPr>
        <w:t xml:space="preserve">, Figura 1 por sector (agricultura, manufactura, minería) — MOSTRAR. </w:t>
      </w:r>
      <w:r w:rsidRPr="00B80F36">
        <w:rPr>
          <w:lang w:val="es-CO"/>
        </w:rPr>
        <w:t>Vale mostrar las tres juntas porque el ranking de países cambia por completo: en agricultura lidera Paraguay (66 % MNE, 65 % extranjera) y cierra El Salvador (29 %); en manufactura lideran Costa Rica (76 %) y República Dominicana (74 %) y cierra Perú (35 %); en minería Colombia y República Dominicana (85 %), pero Colombia con 55 % doméstica. Esto explica la Figura 1 del total: el orden de los países refleja su canasta.</w:t>
      </w:r>
    </w:p>
    <w:p w14:paraId="69A13A79" w14:textId="77777777" w:rsidR="009E7CCF" w:rsidRPr="00B80F36" w:rsidRDefault="00000000" w:rsidP="006C16F1">
      <w:pPr>
        <w:pStyle w:val="ListParagraph"/>
        <w:numPr>
          <w:ilvl w:val="0"/>
          <w:numId w:val="2"/>
        </w:numPr>
        <w:spacing w:before="80"/>
        <w:jc w:val="both"/>
        <w:rPr>
          <w:lang w:val="es-CO"/>
        </w:rPr>
      </w:pPr>
      <w:r w:rsidRPr="00B80F36">
        <w:rPr>
          <w:b/>
          <w:bCs/>
          <w:lang w:val="es-CO"/>
        </w:rPr>
        <w:t>Tabla 41 y Figura 30 (los cuatro sectores) y Tabla 42 / Figura 31 (origen × sector) — MOSTRAR. Compactas y necesarias para el argumento anterior. La Tabla 42</w:t>
      </w:r>
      <w:r w:rsidRPr="00B80F36">
        <w:rPr>
          <w:lang w:val="es-CO"/>
        </w:rPr>
        <w:t xml:space="preserve"> panel B (participación extranjera por celda origen × sector) muestra que la extranjera es alta en minería para ARG, CHL, DOM (75–85 %) y en manufactura para CRI, DOM, COL (58–73 %). Mostrar una de las dos (la tabla es más informativa).</w:t>
      </w:r>
    </w:p>
    <w:p w14:paraId="694D10CA" w14:textId="20ED45E3" w:rsidR="009E7CCF" w:rsidRPr="003B1DE6" w:rsidRDefault="00000000" w:rsidP="006C16F1">
      <w:pPr>
        <w:pStyle w:val="ListParagraph"/>
        <w:numPr>
          <w:ilvl w:val="0"/>
          <w:numId w:val="2"/>
        </w:numPr>
        <w:spacing w:before="80"/>
        <w:jc w:val="both"/>
        <w:rPr>
          <w:lang w:val="es-CO"/>
        </w:rPr>
      </w:pPr>
      <w:r w:rsidRPr="00B80F36">
        <w:rPr>
          <w:b/>
          <w:bCs/>
          <w:lang w:val="es-CO"/>
        </w:rPr>
        <w:t>Tablas 45–46 (números detrás de las figuras) —APÉNDICE.</w:t>
      </w:r>
    </w:p>
    <w:p w14:paraId="4C8A179C" w14:textId="77777777" w:rsidR="009E7CCF" w:rsidRPr="00B80F36" w:rsidRDefault="00000000" w:rsidP="006C16F1">
      <w:pPr>
        <w:pStyle w:val="Heading3"/>
        <w:spacing w:before="80" w:after="0"/>
        <w:jc w:val="both"/>
        <w:rPr>
          <w:lang w:val="es-CO"/>
        </w:rPr>
      </w:pPr>
      <w:r w:rsidRPr="00B80F36">
        <w:rPr>
          <w:lang w:val="es-CO"/>
        </w:rPr>
        <w:t>Foco EE. UU. en el hecho 1</w:t>
      </w:r>
    </w:p>
    <w:p w14:paraId="68B889AC" w14:textId="418CF6EA" w:rsidR="009E7CCF" w:rsidRPr="00B80F36" w:rsidRDefault="003B1DE6" w:rsidP="006C16F1">
      <w:pPr>
        <w:spacing w:before="80"/>
        <w:jc w:val="both"/>
        <w:rPr>
          <w:lang w:val="es-CO"/>
        </w:rPr>
      </w:pPr>
      <w:r>
        <w:rPr>
          <w:lang w:val="es-CO"/>
        </w:rPr>
        <w:t>P</w:t>
      </w:r>
      <w:r w:rsidRPr="00B80F36">
        <w:rPr>
          <w:lang w:val="es-CO"/>
        </w:rPr>
        <w:t>articipación de las MNE de EE. UU. en las exportaciones, por origen y sector</w:t>
      </w:r>
      <w:r>
        <w:rPr>
          <w:lang w:val="es-CO"/>
        </w:rPr>
        <w:t>.</w:t>
      </w:r>
    </w:p>
    <w:p w14:paraId="0A8668B3" w14:textId="77777777" w:rsidR="009E7CCF" w:rsidRPr="00B80F36" w:rsidRDefault="00000000" w:rsidP="006C16F1">
      <w:pPr>
        <w:pStyle w:val="Heading1"/>
        <w:spacing w:before="80" w:after="0"/>
        <w:jc w:val="both"/>
        <w:rPr>
          <w:lang w:val="es-CO"/>
        </w:rPr>
      </w:pPr>
      <w:r w:rsidRPr="00B80F36">
        <w:rPr>
          <w:lang w:val="es-CO"/>
        </w:rPr>
        <w:t>3. Hecho 2 — Extranjeras en productos complejos, domésticas en primarios</w:t>
      </w:r>
    </w:p>
    <w:p w14:paraId="616B4D01" w14:textId="77777777" w:rsidR="009E7CCF" w:rsidRDefault="00000000" w:rsidP="006C16F1">
      <w:pPr>
        <w:pStyle w:val="ListParagraph"/>
        <w:numPr>
          <w:ilvl w:val="0"/>
          <w:numId w:val="2"/>
        </w:numPr>
        <w:spacing w:before="80"/>
        <w:jc w:val="both"/>
      </w:pPr>
      <w:r w:rsidRPr="00B80F36">
        <w:rPr>
          <w:b/>
          <w:bCs/>
          <w:lang w:val="es-CO"/>
        </w:rPr>
        <w:t xml:space="preserve">Figuras 5 y 6 (originales: PCI y Lall) — MOSTRAR. </w:t>
      </w:r>
      <w:r w:rsidRPr="00B80F36">
        <w:rPr>
          <w:lang w:val="es-CO"/>
        </w:rPr>
        <w:t xml:space="preserve">Se reproducen con el gradiente extranjero (0,46 → 0,65) y el doméstico (0,18 → 0,07). </w:t>
      </w:r>
      <w:r>
        <w:t xml:space="preserve">En Lall: </w:t>
      </w:r>
      <w:proofErr w:type="spellStart"/>
      <w:r>
        <w:t>alta</w:t>
      </w:r>
      <w:proofErr w:type="spellEnd"/>
      <w:r>
        <w:t xml:space="preserve"> </w:t>
      </w:r>
      <w:proofErr w:type="spellStart"/>
      <w:r>
        <w:t>tecnología</w:t>
      </w:r>
      <w:proofErr w:type="spellEnd"/>
      <w:r>
        <w:t xml:space="preserve"> 61 % MNE, </w:t>
      </w:r>
      <w:proofErr w:type="spellStart"/>
      <w:r>
        <w:t>primarios</w:t>
      </w:r>
      <w:proofErr w:type="spellEnd"/>
      <w:r>
        <w:t xml:space="preserve"> 64 % </w:t>
      </w:r>
      <w:proofErr w:type="spellStart"/>
      <w:r>
        <w:t>pero</w:t>
      </w:r>
      <w:proofErr w:type="spellEnd"/>
      <w:r>
        <w:t xml:space="preserve"> con 18 % </w:t>
      </w:r>
      <w:proofErr w:type="spellStart"/>
      <w:r>
        <w:t>doméstico</w:t>
      </w:r>
      <w:proofErr w:type="spellEnd"/>
      <w:r>
        <w:t>.</w:t>
      </w:r>
    </w:p>
    <w:p w14:paraId="6C75FF1F"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 7 (PCI por matriz) — MOSTRAR. </w:t>
      </w:r>
      <w:r w:rsidRPr="00B80F36">
        <w:rPr>
          <w:lang w:val="es-CO"/>
        </w:rPr>
        <w:t>EE. UU. sube de 11 % en Q1 a 18–19 % en Q3–Q4; DEU (15 %) y JPN (15 %) aparecen solo en Q5 (vehículos); GBR (13 %) y CAN (6 %) solo en Q1 (minerales). Muestra que el hecho 2 tiene nacionalidades: la complejidad de lo que exporta una MNE extranjera depende de dónde viene su matriz.</w:t>
      </w:r>
    </w:p>
    <w:p w14:paraId="05C92759" w14:textId="77777777" w:rsidR="009E7CCF" w:rsidRDefault="00000000" w:rsidP="006C16F1">
      <w:pPr>
        <w:pStyle w:val="ListParagraph"/>
        <w:numPr>
          <w:ilvl w:val="0"/>
          <w:numId w:val="2"/>
        </w:numPr>
        <w:spacing w:before="80"/>
        <w:jc w:val="both"/>
      </w:pPr>
      <w:r w:rsidRPr="00B80F36">
        <w:rPr>
          <w:b/>
          <w:bCs/>
          <w:lang w:val="es-CO"/>
        </w:rPr>
        <w:t>Figura 8 (Lall por matriz) — MOSTRAR. Alta tecnología: EE. UU. 22 % de todo el valor exportado (41 % del valor extranjero); media tecnología: DEU 7 %, JPN 5 %, EE. UU. 10 %; primarios: GBR 13 %, doméstica 18 %. Se puede fusionar con la Figura 7</w:t>
      </w:r>
      <w:r>
        <w:t xml:space="preserve"> </w:t>
      </w:r>
      <w:proofErr w:type="spellStart"/>
      <w:r>
        <w:t>en</w:t>
      </w:r>
      <w:proofErr w:type="spellEnd"/>
      <w:r>
        <w:t xml:space="preserve"> un panel.</w:t>
      </w:r>
    </w:p>
    <w:p w14:paraId="10F74824" w14:textId="77777777" w:rsidR="009E7CCF" w:rsidRDefault="00000000" w:rsidP="006C16F1">
      <w:pPr>
        <w:pStyle w:val="ListParagraph"/>
        <w:numPr>
          <w:ilvl w:val="0"/>
          <w:numId w:val="2"/>
        </w:numPr>
        <w:spacing w:before="80"/>
        <w:jc w:val="both"/>
      </w:pPr>
      <w:r w:rsidRPr="00B80F36">
        <w:rPr>
          <w:b/>
          <w:bCs/>
          <w:lang w:val="es-CO"/>
        </w:rPr>
        <w:t xml:space="preserve">Figura 9 (seis medidas en un panel) y Tabla 2 — APOYO / APÉNDICE. </w:t>
      </w:r>
      <w:r w:rsidRPr="00B80F36">
        <w:rPr>
          <w:lang w:val="es-CO"/>
        </w:rPr>
        <w:t xml:space="preserve">Solo PCI ordena monótonamente. Broda–Weinstein (0,44; 0,40; 0,40; 0,48; 0,39), </w:t>
      </w:r>
      <w:proofErr w:type="spellStart"/>
      <w:r w:rsidRPr="00B80F36">
        <w:rPr>
          <w:lang w:val="es-CO"/>
        </w:rPr>
        <w:t>upstreamness</w:t>
      </w:r>
      <w:proofErr w:type="spellEnd"/>
      <w:r w:rsidRPr="00B80F36">
        <w:rPr>
          <w:lang w:val="es-CO"/>
        </w:rPr>
        <w:t xml:space="preserve"> (0,52; 0,41; 0,41; 0,47; 0,49) y RHCI (0,34; 0,59; 0,51; 0,49; 0,53) no muestran gradiente; la escalera de calidad sube hasta Q4 y cae en Q5. Como robustez en apéndice: "la relación con el PCI no se traslada a otras medidas de sofisticación". </w:t>
      </w:r>
      <w:r>
        <w:t xml:space="preserve">Eso </w:t>
      </w:r>
      <w:proofErr w:type="spellStart"/>
      <w:r>
        <w:t>mismo</w:t>
      </w:r>
      <w:proofErr w:type="spellEnd"/>
      <w:r>
        <w:t xml:space="preserve"> es un </w:t>
      </w:r>
      <w:proofErr w:type="spellStart"/>
      <w:r>
        <w:t>hallazgo</w:t>
      </w:r>
      <w:proofErr w:type="spellEnd"/>
      <w:r>
        <w:t xml:space="preserve"> </w:t>
      </w:r>
      <w:proofErr w:type="spellStart"/>
      <w:r>
        <w:t>honesto</w:t>
      </w:r>
      <w:proofErr w:type="spellEnd"/>
      <w:r>
        <w:t>.</w:t>
      </w:r>
    </w:p>
    <w:p w14:paraId="79975980" w14:textId="3604F853"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 10 (FGO en lugar del PCI) y su columna en la Tabla 7 — NO MOSTRAR. </w:t>
      </w:r>
      <w:r w:rsidR="003B1DE6">
        <w:rPr>
          <w:lang w:val="es-CO"/>
        </w:rPr>
        <w:t>El</w:t>
      </w:r>
      <w:r w:rsidRPr="00B80F36">
        <w:rPr>
          <w:lang w:val="es-CO"/>
        </w:rPr>
        <w:t xml:space="preserve"> signo cambia por sector. </w:t>
      </w:r>
      <w:r w:rsidR="00BA538C">
        <w:rPr>
          <w:lang w:val="es-CO"/>
        </w:rPr>
        <w:t>En</w:t>
      </w:r>
      <w:r w:rsidRPr="00B80F36">
        <w:rPr>
          <w:lang w:val="es-CO"/>
        </w:rPr>
        <w:t xml:space="preserve"> agricultura la participación extranjera baja con la sustituibilidad (0,40 → 0,33; coeficiente −0,050), en manufactura baja (0,64 → 0,47) y en minería sube (0,34 → 0,55). La verificación metodológica quedó hecha: FGO da una elasticidad por producto HS6 común a todos los exportadores, así que no hay nada que corregir por origen.</w:t>
      </w:r>
    </w:p>
    <w:p w14:paraId="3E518E31" w14:textId="664AA3F0"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Figuras 11–13 (histogramas) y Tabla 3 (correlaciones) — NO MOSTRAR. </w:t>
      </w:r>
    </w:p>
    <w:p w14:paraId="59C8D008" w14:textId="588028C5" w:rsidR="009E7CCF" w:rsidRPr="00B80F36" w:rsidRDefault="00000000" w:rsidP="006C16F1">
      <w:pPr>
        <w:pStyle w:val="ListParagraph"/>
        <w:numPr>
          <w:ilvl w:val="0"/>
          <w:numId w:val="2"/>
        </w:numPr>
        <w:spacing w:before="80"/>
        <w:jc w:val="both"/>
        <w:rPr>
          <w:lang w:val="es-CO"/>
        </w:rPr>
      </w:pPr>
      <w:r w:rsidRPr="00B80F36">
        <w:rPr>
          <w:b/>
          <w:bCs/>
          <w:lang w:val="es-CO"/>
        </w:rPr>
        <w:t xml:space="preserve">Tabla 4 y, sobre todo, Tabla 5 con Figura 14 (Rauch en dos clases; nuevas) — MOSTRAR. </w:t>
      </w:r>
      <w:r w:rsidRPr="00B80F36">
        <w:rPr>
          <w:lang w:val="es-CO"/>
        </w:rPr>
        <w:t>Extranjeras: 56 % en diferenciados vs 43 % en no diferenciados; domésticas: 6 % vs 17 %. En manufactura (</w:t>
      </w:r>
      <w:proofErr w:type="spellStart"/>
      <w:r w:rsidRPr="00B80F36">
        <w:rPr>
          <w:lang w:val="es-CO"/>
        </w:rPr>
        <w:t>WP_sectors</w:t>
      </w:r>
      <w:proofErr w:type="spellEnd"/>
      <w:r w:rsidRPr="00B80F36">
        <w:rPr>
          <w:lang w:val="es-CO"/>
        </w:rPr>
        <w:t xml:space="preserve">) 60 % vs 44 % y 5 % vs 10 %. En agricultura no hay diferencia (41 % vs 38 %; doméstica 9 % </w:t>
      </w:r>
      <w:r w:rsidRPr="00B80F36">
        <w:rPr>
          <w:lang w:val="es-CO"/>
        </w:rPr>
        <w:lastRenderedPageBreak/>
        <w:t>en ambas). Es la versión del hecho 2 más fácil de leer y la que menos depende de la medida de complejidad.</w:t>
      </w:r>
    </w:p>
    <w:p w14:paraId="07E1A1C5"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Tabla 6 (BEC uso final) — MOSTRAR. </w:t>
      </w:r>
      <w:r w:rsidRPr="00B80F36">
        <w:rPr>
          <w:lang w:val="es-CO"/>
        </w:rPr>
        <w:t>Bienes de capital 65 % extranjera, automóviles 89 %, intermedios 48 % (con 16 % doméstica), consumo 41 %. En manufactura el consumo sube a 54 % y la mitad de ese valor extranjero es de matriz estadounidense (USA 0,51). Compacta y útil para el argumento de "qué tipo de bien".</w:t>
      </w:r>
    </w:p>
    <w:p w14:paraId="7607B464"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Tabla 7 (escalera A.4 con PCI, FGO y </w:t>
      </w:r>
      <w:proofErr w:type="spellStart"/>
      <w:r w:rsidRPr="00B80F36">
        <w:rPr>
          <w:b/>
          <w:bCs/>
          <w:lang w:val="es-CO"/>
        </w:rPr>
        <w:t>upstreamness</w:t>
      </w:r>
      <w:proofErr w:type="spellEnd"/>
      <w:r w:rsidRPr="00B80F36">
        <w:rPr>
          <w:b/>
          <w:bCs/>
          <w:lang w:val="es-CO"/>
        </w:rPr>
        <w:t xml:space="preserve">) — MOSTRAR. </w:t>
      </w:r>
      <w:r w:rsidRPr="00B80F36">
        <w:rPr>
          <w:lang w:val="es-CO"/>
        </w:rPr>
        <w:t>Mostrar solo las filas de PCI: +0,09 sobre la participación extranjera y −0,06 sobre la doméstica (−0,04 con efectos fijos origen × destino × año), y en manufactura +0,06 / +0,03 (las domésticas de manufactura NO están en lo menos complejo). La fila de FGO se quita o se comenta como no robusta.</w:t>
      </w:r>
    </w:p>
    <w:p w14:paraId="20A05884" w14:textId="77777777" w:rsidR="009E7CCF" w:rsidRPr="00B80F36" w:rsidRDefault="00000000" w:rsidP="006C16F1">
      <w:pPr>
        <w:pStyle w:val="Heading3"/>
        <w:spacing w:before="80" w:after="0"/>
        <w:jc w:val="both"/>
        <w:rPr>
          <w:lang w:val="es-CO"/>
        </w:rPr>
      </w:pPr>
      <w:r w:rsidRPr="00B80F36">
        <w:rPr>
          <w:lang w:val="es-CO"/>
        </w:rPr>
        <w:t>Sectores</w:t>
      </w:r>
    </w:p>
    <w:p w14:paraId="427080EB" w14:textId="29FCC459" w:rsidR="009E7CCF" w:rsidRPr="00B80F36" w:rsidRDefault="00BA538C" w:rsidP="006C16F1">
      <w:pPr>
        <w:spacing w:before="80"/>
        <w:jc w:val="both"/>
        <w:rPr>
          <w:lang w:val="es-CO"/>
        </w:rPr>
      </w:pPr>
      <w:r>
        <w:rPr>
          <w:lang w:val="es-CO"/>
        </w:rPr>
        <w:t>E</w:t>
      </w:r>
      <w:r w:rsidRPr="00B80F36">
        <w:rPr>
          <w:lang w:val="es-CO"/>
        </w:rPr>
        <w:t>n el WP presentar el hecho 2 para el total y para manufactura, y decir explícitamente que no se sostiene dentro de agricultura ni minería.</w:t>
      </w:r>
    </w:p>
    <w:p w14:paraId="710E7D5A" w14:textId="77777777" w:rsidR="009E7CCF" w:rsidRPr="00B80F36" w:rsidRDefault="00000000" w:rsidP="006C16F1">
      <w:pPr>
        <w:pStyle w:val="Heading3"/>
        <w:spacing w:before="80" w:after="0"/>
        <w:jc w:val="both"/>
        <w:rPr>
          <w:lang w:val="es-CO"/>
        </w:rPr>
      </w:pPr>
      <w:r w:rsidRPr="00B80F36">
        <w:rPr>
          <w:lang w:val="es-CO"/>
        </w:rPr>
        <w:t>Foco EE. UU. en el hecho 2</w:t>
      </w:r>
    </w:p>
    <w:p w14:paraId="53EBD88F" w14:textId="77777777" w:rsidR="009E7CCF" w:rsidRPr="00B80F36" w:rsidRDefault="00000000" w:rsidP="006C16F1">
      <w:pPr>
        <w:spacing w:before="80"/>
        <w:jc w:val="both"/>
        <w:rPr>
          <w:lang w:val="es-CO"/>
        </w:rPr>
      </w:pPr>
      <w:r w:rsidRPr="00B80F36">
        <w:rPr>
          <w:lang w:val="es-CO"/>
        </w:rPr>
        <w:t>Las MNE de EE. UU. son el vector del hecho 2 en el extremo alto: en manufactura tienen 25 % de la alta tecnología (</w:t>
      </w:r>
      <w:proofErr w:type="spellStart"/>
      <w:r w:rsidRPr="00B80F36">
        <w:rPr>
          <w:lang w:val="es-CO"/>
        </w:rPr>
        <w:t>WP_sectors</w:t>
      </w:r>
      <w:proofErr w:type="spellEnd"/>
      <w:r w:rsidRPr="00B80F36">
        <w:rPr>
          <w:lang w:val="es-CO"/>
        </w:rPr>
        <w:t xml:space="preserve"> Lall por matriz: electrónica 46 % del valor, instrumentos 53 %, computadores 52 %) y 32 % de la confección, mientras que en el quintil 1 del total (minerales) pesan 11 %. La Tabla 47 (PCI por matriz, números) lo cuantifica: USA 0,11 en Q1 y 0,19 en Q4.</w:t>
      </w:r>
    </w:p>
    <w:p w14:paraId="19DFD153" w14:textId="77777777" w:rsidR="009E7CCF" w:rsidRPr="00B80F36" w:rsidRDefault="00000000" w:rsidP="006C16F1">
      <w:pPr>
        <w:pStyle w:val="Heading1"/>
        <w:spacing w:before="80" w:after="0"/>
        <w:jc w:val="both"/>
        <w:rPr>
          <w:lang w:val="es-CO"/>
        </w:rPr>
      </w:pPr>
      <w:r w:rsidRPr="00B80F36">
        <w:rPr>
          <w:lang w:val="es-CO"/>
        </w:rPr>
        <w:t>4. Hecho 3 — Pocos países de origen de las matrices</w:t>
      </w:r>
    </w:p>
    <w:p w14:paraId="3A6E1BCB" w14:textId="249E2C09" w:rsidR="009E7CCF" w:rsidRPr="00721629" w:rsidRDefault="00000000" w:rsidP="006C16F1">
      <w:pPr>
        <w:pStyle w:val="ListParagraph"/>
        <w:numPr>
          <w:ilvl w:val="0"/>
          <w:numId w:val="2"/>
        </w:numPr>
        <w:spacing w:before="80"/>
        <w:jc w:val="both"/>
        <w:rPr>
          <w:lang w:val="es-CO"/>
        </w:rPr>
      </w:pPr>
      <w:r w:rsidRPr="00B80F36">
        <w:rPr>
          <w:b/>
          <w:bCs/>
          <w:lang w:val="es-CO"/>
        </w:rPr>
        <w:t xml:space="preserve">Figura 15 y Tabla 8 (original: ranking de matrices) — MOSTRAR. </w:t>
      </w:r>
      <w:r w:rsidRPr="00B80F36">
        <w:rPr>
          <w:lang w:val="es-CO"/>
        </w:rPr>
        <w:t>USA 23,3 % (US$ 239 mm), GBR 19,3 %, CAN 7,8 %, LIE 5,4 %, DEU 4,3 %, NLD 3,9 %, CHE 3,6 %, JPN 3,4 %, PAN 3,3 %, BRA 2,8 %; 150 países restantes 14 %.</w:t>
      </w:r>
    </w:p>
    <w:p w14:paraId="2D2D0EE4" w14:textId="235FCF29" w:rsidR="009E7CCF" w:rsidRPr="00B80F36" w:rsidRDefault="00000000" w:rsidP="006C16F1">
      <w:pPr>
        <w:pStyle w:val="ListParagraph"/>
        <w:numPr>
          <w:ilvl w:val="0"/>
          <w:numId w:val="2"/>
        </w:numPr>
        <w:spacing w:before="80"/>
        <w:jc w:val="both"/>
        <w:rPr>
          <w:lang w:val="es-CO"/>
        </w:rPr>
      </w:pPr>
      <w:r w:rsidRPr="00B80F36">
        <w:rPr>
          <w:b/>
          <w:bCs/>
          <w:lang w:val="es-CO"/>
        </w:rPr>
        <w:t xml:space="preserve">Tablas 9–11 (región de la matriz × región de destino) — APOYO / APÉNDICE. </w:t>
      </w:r>
      <w:r w:rsidR="00BA538C">
        <w:rPr>
          <w:lang w:val="es-CO"/>
        </w:rPr>
        <w:t>La</w:t>
      </w:r>
      <w:r w:rsidRPr="00B80F36">
        <w:rPr>
          <w:lang w:val="es-CO"/>
        </w:rPr>
        <w:t>s MNE con matriz europea mandan 38 % a Asia y 28 % a ALC; las norteamericanas 31 % a ALC y 24 % a Norteamérica; las asiáticas 51 % a ALC (autos japoneses a Brasil). Las domésticas mandan 33 % a Norteamérica (petróleo colombiano). Una sola tabla, en apéndice o como texto.</w:t>
      </w:r>
    </w:p>
    <w:p w14:paraId="34A119FE" w14:textId="77777777" w:rsidR="009E7CCF" w:rsidRDefault="00000000" w:rsidP="006C16F1">
      <w:pPr>
        <w:pStyle w:val="ListParagraph"/>
        <w:numPr>
          <w:ilvl w:val="0"/>
          <w:numId w:val="2"/>
        </w:numPr>
        <w:spacing w:before="80"/>
        <w:jc w:val="both"/>
      </w:pPr>
      <w:r w:rsidRPr="00B80F36">
        <w:rPr>
          <w:b/>
          <w:bCs/>
          <w:lang w:val="es-CO"/>
        </w:rPr>
        <w:t>Tabla 13 (top-10 matrices × top-10 destinos, fila %) — MOSTRAR. La tabla central del hecho 3 ampliado: GBR 36 % a China y 7 % a Japón; LIE 25 % China y 19 % Japón; PAN 35 % China; EE. UU. 22 % a EE. UU., 10 % China, 8 % Brasil; CAN 20 % a Canadá; JPN 45 % a Brasil, DEU 32 %, NLD 27 %. Tres modelos: mineras anglosajonas y sus holdings venden a Asia; automotrices europeas y japonesas usan Argentina como plataforma Mercosur; EE. UU. es el único que exporta a casa en volumen. Las Tablas 12 (valores) y 14</w:t>
      </w:r>
      <w:r>
        <w:t xml:space="preserve"> (columna %) van al </w:t>
      </w:r>
      <w:proofErr w:type="spellStart"/>
      <w:r>
        <w:t>apéndice</w:t>
      </w:r>
      <w:proofErr w:type="spellEnd"/>
      <w:r>
        <w:t>.</w:t>
      </w:r>
    </w:p>
    <w:p w14:paraId="236F04F5" w14:textId="2D9B26B8" w:rsidR="009E7CCF" w:rsidRPr="00BA538C" w:rsidRDefault="00000000" w:rsidP="006C16F1">
      <w:pPr>
        <w:pStyle w:val="ListParagraph"/>
        <w:numPr>
          <w:ilvl w:val="0"/>
          <w:numId w:val="2"/>
        </w:numPr>
        <w:spacing w:before="80"/>
        <w:jc w:val="both"/>
        <w:rPr>
          <w:lang w:val="es-CO"/>
        </w:rPr>
      </w:pPr>
      <w:r w:rsidRPr="00B80F36">
        <w:rPr>
          <w:b/>
          <w:bCs/>
          <w:lang w:val="es-CO"/>
        </w:rPr>
        <w:t xml:space="preserve">Tablas 15–16 (destino de las extranjeras vs de las locales, por origen) — APOYO / APÉNDICE. </w:t>
      </w:r>
      <w:r w:rsidRPr="00B80F36">
        <w:rPr>
          <w:lang w:val="es-CO"/>
        </w:rPr>
        <w:t xml:space="preserve">Comparación útil para el hecho 6: Las MNE extranjeras alcanzan mercados </w:t>
      </w:r>
      <w:proofErr w:type="gramStart"/>
      <w:r w:rsidRPr="00B80F36">
        <w:rPr>
          <w:lang w:val="es-CO"/>
        </w:rPr>
        <w:t>más lejanos o más grandes</w:t>
      </w:r>
      <w:proofErr w:type="gramEnd"/>
      <w:r w:rsidRPr="00B80F36">
        <w:rPr>
          <w:lang w:val="es-CO"/>
        </w:rPr>
        <w:t xml:space="preserve"> que las locales del mismo país. </w:t>
      </w:r>
      <w:r w:rsidRPr="00BA538C">
        <w:rPr>
          <w:lang w:val="es-CO"/>
        </w:rPr>
        <w:t>Dos líneas de texto o una tabla pequeña.</w:t>
      </w:r>
    </w:p>
    <w:p w14:paraId="751E031E" w14:textId="77777777" w:rsidR="009E7CCF" w:rsidRDefault="00000000" w:rsidP="006C16F1">
      <w:pPr>
        <w:pStyle w:val="ListParagraph"/>
        <w:numPr>
          <w:ilvl w:val="0"/>
          <w:numId w:val="2"/>
        </w:numPr>
        <w:spacing w:before="80"/>
        <w:jc w:val="both"/>
      </w:pPr>
      <w:r w:rsidRPr="00B80F36">
        <w:rPr>
          <w:b/>
          <w:bCs/>
          <w:lang w:val="es-CO"/>
        </w:rPr>
        <w:t>Figura 16 (mapa de calor región × región) — NO MOSTRAR. Repite la Tabla 10</w:t>
      </w:r>
      <w:r>
        <w:t>.</w:t>
      </w:r>
    </w:p>
    <w:p w14:paraId="1B6A871E" w14:textId="4BD301ED" w:rsidR="009E7CCF" w:rsidRPr="00B80F36" w:rsidRDefault="00000000" w:rsidP="006C16F1">
      <w:pPr>
        <w:pStyle w:val="ListParagraph"/>
        <w:numPr>
          <w:ilvl w:val="0"/>
          <w:numId w:val="2"/>
        </w:numPr>
        <w:spacing w:before="80"/>
        <w:jc w:val="both"/>
        <w:rPr>
          <w:lang w:val="es-CO"/>
        </w:rPr>
      </w:pPr>
      <w:r w:rsidRPr="00B80F36">
        <w:rPr>
          <w:b/>
          <w:bCs/>
          <w:lang w:val="es-CO"/>
        </w:rPr>
        <w:t>Figuras 17–18 (mapas de calor 15 × 15) — APOYO / APÉNDICE. Figura de apoyo a la Tabla 13</w:t>
      </w:r>
      <w:r w:rsidRPr="00B80F36">
        <w:rPr>
          <w:lang w:val="es-CO"/>
        </w:rPr>
        <w:t>: se ven de un vistazo las celdas GBR→CHN (7,1 % de todo el valor extranjero) y USA→USA (5,2 %).</w:t>
      </w:r>
    </w:p>
    <w:p w14:paraId="60CE4F0E"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 19 (parte de las exportaciones de cada matriz que va a su propio país) — MOSTRAR. </w:t>
      </w:r>
      <w:r w:rsidRPr="00B80F36">
        <w:rPr>
          <w:lang w:val="es-CO"/>
        </w:rPr>
        <w:t>Figura clave: USA 22 %, CAN 20 %, BRA 19 %, ESP 12 %, JPN 9 %, DEU 8 %, NLD 2 %, GBR 1 %, LIE 0 %, CHE 0 %. Promedio 9 %. Con las versiones sectoriales (</w:t>
      </w:r>
      <w:proofErr w:type="spellStart"/>
      <w:r w:rsidRPr="00B80F36">
        <w:rPr>
          <w:lang w:val="es-CO"/>
        </w:rPr>
        <w:t>WP_sectors</w:t>
      </w:r>
      <w:proofErr w:type="spellEnd"/>
      <w:r w:rsidRPr="00B80F36">
        <w:rPr>
          <w:lang w:val="es-CO"/>
        </w:rPr>
        <w:t>): manufactura USA 41 %, BRA 22 %, DEU 9 %, JPN 3 %; agricultura USA 7 %, ESP 26 %, JPN 33 % (cifras chicas); minería CAN 26 %, BRA 34 %, USA 12,5 %, GBR 0,6 %. Propongo una versión con las cuatro barras (total y tres sectores) por matriz.</w:t>
      </w:r>
    </w:p>
    <w:p w14:paraId="65BBBF06" w14:textId="77777777" w:rsidR="009E7CCF" w:rsidRPr="00B80F36" w:rsidRDefault="00000000" w:rsidP="006C16F1">
      <w:pPr>
        <w:pStyle w:val="Heading3"/>
        <w:spacing w:before="80" w:after="0"/>
        <w:jc w:val="both"/>
        <w:rPr>
          <w:lang w:val="es-CO"/>
        </w:rPr>
      </w:pPr>
      <w:r w:rsidRPr="00B80F36">
        <w:rPr>
          <w:lang w:val="es-CO"/>
        </w:rPr>
        <w:t>Foco EE. UU. en el hecho 3 (</w:t>
      </w:r>
      <w:proofErr w:type="spellStart"/>
      <w:r w:rsidRPr="00B80F36">
        <w:rPr>
          <w:lang w:val="es-CO"/>
        </w:rPr>
        <w:t>WP_countries</w:t>
      </w:r>
      <w:proofErr w:type="spellEnd"/>
      <w:r w:rsidRPr="00B80F36">
        <w:rPr>
          <w:lang w:val="es-CO"/>
        </w:rPr>
        <w:t>)</w:t>
      </w:r>
    </w:p>
    <w:p w14:paraId="6E9C3B71" w14:textId="7290309F" w:rsidR="009E7CCF" w:rsidRPr="00B80F36" w:rsidRDefault="00000000" w:rsidP="006C16F1">
      <w:pPr>
        <w:spacing w:before="80"/>
        <w:jc w:val="both"/>
        <w:rPr>
          <w:lang w:val="es-CO"/>
        </w:rPr>
      </w:pPr>
      <w:proofErr w:type="spellStart"/>
      <w:r w:rsidRPr="00B80F36">
        <w:rPr>
          <w:lang w:val="es-CO"/>
        </w:rPr>
        <w:lastRenderedPageBreak/>
        <w:t>WP_countries</w:t>
      </w:r>
      <w:proofErr w:type="spellEnd"/>
      <w:r w:rsidRPr="00B80F36">
        <w:rPr>
          <w:lang w:val="es-CO"/>
        </w:rPr>
        <w:t xml:space="preserve"> tiene, para cada origen, el mapa matriz × destino y la figura de "a casa". </w:t>
      </w:r>
      <w:r w:rsidR="00BA538C">
        <w:rPr>
          <w:lang w:val="es-CO"/>
        </w:rPr>
        <w:t>V</w:t>
      </w:r>
      <w:r w:rsidRPr="00B80F36">
        <w:rPr>
          <w:lang w:val="es-CO"/>
        </w:rPr>
        <w:t>ale la pena para el WP</w:t>
      </w:r>
      <w:r w:rsidR="00BA538C">
        <w:rPr>
          <w:lang w:val="es-CO"/>
        </w:rPr>
        <w:t xml:space="preserve">: </w:t>
      </w:r>
      <w:r w:rsidRPr="00B80F36">
        <w:rPr>
          <w:lang w:val="es-CO"/>
        </w:rPr>
        <w:t>República Dominicana (EE. UU. manda a casa 70 %), El Salvador (67 %) y Costa Rica (47 %). En los seis restantes la barra de EE. UU. es baja (Chile 31 %, Colombia 15 %, Perú 9 %, Argentina 4 %, Paraguay y Uruguay 0 %) y el mensaje es el mismo que en la Figura 19. Las tablas por origen de región × destino y los top-15 HS6 por origen son apéndice.</w:t>
      </w:r>
    </w:p>
    <w:p w14:paraId="7AA15E53" w14:textId="524F684D" w:rsidR="009E7CCF" w:rsidRPr="00B80F36" w:rsidRDefault="00000000" w:rsidP="006C16F1">
      <w:pPr>
        <w:spacing w:before="80"/>
        <w:jc w:val="both"/>
        <w:rPr>
          <w:lang w:val="es-CO"/>
        </w:rPr>
      </w:pPr>
      <w:r w:rsidRPr="00B80F36">
        <w:rPr>
          <w:lang w:val="es-CO"/>
        </w:rPr>
        <w:t>Los productos que las MNE de EE. UU. mandan a casa y su peso en lo que ALC exporta a EE. UU. de ese producto: camisetas 52 %, catéteres 83 %, circuitos integrados 95 %, neumáticos 63 %, ropa interior 86 %, medias 93 %, instrumentos médicos 43 %, carbón 48 %, molibdeno 79 %; en cambio petróleo crudo 5</w:t>
      </w:r>
      <w:r w:rsidR="006C4B71">
        <w:rPr>
          <w:lang w:val="es-CO"/>
        </w:rPr>
        <w:t xml:space="preserve"> %</w:t>
      </w:r>
      <w:r w:rsidRPr="00B80F36">
        <w:rPr>
          <w:lang w:val="es-CO"/>
        </w:rPr>
        <w:t xml:space="preserve">. Esta lista, junto con la tabla "quién mueve las exportaciones a EE. UU." </w:t>
      </w:r>
    </w:p>
    <w:p w14:paraId="1BAC9529" w14:textId="77777777" w:rsidR="009E7CCF" w:rsidRPr="00B80F36" w:rsidRDefault="00000000" w:rsidP="006C16F1">
      <w:pPr>
        <w:pStyle w:val="Heading1"/>
        <w:spacing w:before="80" w:after="0"/>
        <w:jc w:val="both"/>
        <w:rPr>
          <w:lang w:val="es-CO"/>
        </w:rPr>
      </w:pPr>
      <w:r w:rsidRPr="00B80F36">
        <w:rPr>
          <w:lang w:val="es-CO"/>
        </w:rPr>
        <w:t>5. Hecho 4 — Pocos grupos grandes concentran el valor</w:t>
      </w:r>
    </w:p>
    <w:p w14:paraId="46E2F4E0" w14:textId="10888154"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 24 y Tabla 23 (original: tamaño de la red) — MOSTRAR. </w:t>
      </w:r>
      <w:r w:rsidRPr="00B80F36">
        <w:rPr>
          <w:lang w:val="es-CO"/>
        </w:rPr>
        <w:t>56 % del valor en matrices con más de 100 filiales; 9 % de las matrices. Las versiones sectoriales caben en una frase: manufactura 65 %, minería 51 %, agricultura 50 %; en agricultura el 45 % de las matrices tiene una sola filial.</w:t>
      </w:r>
    </w:p>
    <w:p w14:paraId="0BD90AF2" w14:textId="744CB931"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 25 y Tabla 24 (HHI agrupando filiales por matriz) — APOYO / APÉNDICE. </w:t>
      </w:r>
      <w:r w:rsidRPr="00B80F36">
        <w:rPr>
          <w:lang w:val="es-CO"/>
        </w:rPr>
        <w:t xml:space="preserve">El efecto es pequeño (HHI 0,192 → 0,215; participación del mayor exportador 31 % → 34 %) y mayor en minería (0,182 → 0,229) y en los productos intensivos en MNE (0,234 → 0,270). </w:t>
      </w:r>
    </w:p>
    <w:p w14:paraId="2085AA07" w14:textId="2D1D4159" w:rsidR="009E7CCF" w:rsidRDefault="00000000" w:rsidP="006C16F1">
      <w:pPr>
        <w:pStyle w:val="ListParagraph"/>
        <w:numPr>
          <w:ilvl w:val="0"/>
          <w:numId w:val="2"/>
        </w:numPr>
        <w:spacing w:before="80"/>
        <w:jc w:val="both"/>
      </w:pPr>
      <w:r w:rsidRPr="00B80F36">
        <w:rPr>
          <w:b/>
          <w:bCs/>
          <w:lang w:val="es-CO"/>
        </w:rPr>
        <w:t xml:space="preserve">Tablas 25–26 (grupos vs filiales en la celda) — NO MOSTRAR. </w:t>
      </w:r>
      <w:r w:rsidRPr="00B80F36">
        <w:rPr>
          <w:lang w:val="es-CO"/>
        </w:rPr>
        <w:t>Resultado nulo</w:t>
      </w:r>
      <w:r w:rsidR="006C4B71">
        <w:rPr>
          <w:lang w:val="es-CO"/>
        </w:rPr>
        <w:t>.</w:t>
      </w:r>
    </w:p>
    <w:p w14:paraId="42D8864A" w14:textId="77777777" w:rsidR="009E7CCF" w:rsidRPr="00B80F36" w:rsidRDefault="00000000" w:rsidP="006C16F1">
      <w:pPr>
        <w:pStyle w:val="Heading1"/>
        <w:spacing w:before="80" w:after="0"/>
        <w:jc w:val="both"/>
        <w:rPr>
          <w:lang w:val="es-CO"/>
        </w:rPr>
      </w:pPr>
      <w:r w:rsidRPr="00B80F36">
        <w:rPr>
          <w:lang w:val="es-CO"/>
        </w:rPr>
        <w:t>6. Hecho 5 — Más presencia de MNE, más comercio</w:t>
      </w:r>
    </w:p>
    <w:p w14:paraId="07A4A41F" w14:textId="41767968" w:rsidR="009E7CCF" w:rsidRPr="00B80F36" w:rsidRDefault="00000000" w:rsidP="006C16F1">
      <w:pPr>
        <w:pStyle w:val="ListParagraph"/>
        <w:numPr>
          <w:ilvl w:val="0"/>
          <w:numId w:val="2"/>
        </w:numPr>
        <w:spacing w:before="80"/>
        <w:jc w:val="both"/>
        <w:rPr>
          <w:lang w:val="es-CO"/>
        </w:rPr>
      </w:pPr>
      <w:r w:rsidRPr="00B80F36">
        <w:rPr>
          <w:b/>
          <w:bCs/>
          <w:lang w:val="es-CO"/>
        </w:rPr>
        <w:t xml:space="preserve">Tabla 27 — MOSTRAR. </w:t>
      </w:r>
    </w:p>
    <w:p w14:paraId="5238E791" w14:textId="62328B07" w:rsidR="009E7CCF" w:rsidRPr="00B80F36" w:rsidRDefault="00000000" w:rsidP="006C16F1">
      <w:pPr>
        <w:pStyle w:val="ListParagraph"/>
        <w:numPr>
          <w:ilvl w:val="0"/>
          <w:numId w:val="2"/>
        </w:numPr>
        <w:spacing w:before="80"/>
        <w:jc w:val="both"/>
        <w:rPr>
          <w:lang w:val="es-CO"/>
        </w:rPr>
      </w:pPr>
      <w:r w:rsidRPr="00B80F36">
        <w:rPr>
          <w:b/>
          <w:bCs/>
          <w:lang w:val="es-CO"/>
        </w:rPr>
        <w:t>Tabla 28 (valor MNE por origen: doméstico y presencia en el destino) — MOSTRAR. Del valor extranjero, solo 8,4 % va al país de la matriz ("a través de la casa matriz"), pero 41 % en El Salvador, 29 % en República Dominicana y 26 % en Costa Rica; y el 40 % del valor extranjero va a destinos donde el grupo tiene otra filial. Manufactura: 12 % a casa, con SLV 47 %, CRI 33 %, DOM 25 %. Complementa la Figura 19</w:t>
      </w:r>
      <w:r w:rsidRPr="00B80F36">
        <w:rPr>
          <w:lang w:val="es-CO"/>
        </w:rPr>
        <w:t xml:space="preserve"> desde el lado del origen.</w:t>
      </w:r>
    </w:p>
    <w:p w14:paraId="6C188941" w14:textId="089F0869" w:rsidR="009E7CCF" w:rsidRPr="00B80F36" w:rsidRDefault="00000000" w:rsidP="006C16F1">
      <w:pPr>
        <w:pStyle w:val="ListParagraph"/>
        <w:numPr>
          <w:ilvl w:val="0"/>
          <w:numId w:val="2"/>
        </w:numPr>
        <w:spacing w:before="80"/>
        <w:jc w:val="both"/>
        <w:rPr>
          <w:lang w:val="es-CO"/>
        </w:rPr>
      </w:pPr>
      <w:r w:rsidRPr="00B80F36">
        <w:rPr>
          <w:b/>
          <w:bCs/>
          <w:lang w:val="es-CO"/>
        </w:rPr>
        <w:t xml:space="preserve">Tabla 29 (margen intensivo descompuesto) — MOSTRAR. </w:t>
      </w:r>
      <w:r w:rsidR="006C4B71">
        <w:rPr>
          <w:lang w:val="es-CO"/>
        </w:rPr>
        <w:t>Descomposición</w:t>
      </w:r>
      <w:r w:rsidRPr="00B80F36">
        <w:rPr>
          <w:lang w:val="es-CO"/>
        </w:rPr>
        <w:t>: (1) todas las MNE 2,07; (2) extranjeras 1,21 vs domésticas 0,44 [con efectos fijos origen × destino × producto y origen × destino × año: 0,45 vs 0,22]; (3) extranjeras presentes a través de la casa matriz 0,40 vs no 0,95, domésticas 0,38. Panel B (exportaciones de las firmas locales de la celda): extranjeras 1,13 vs domésticas 0,47. Las columnas (3)–(4) tienen 113.000 celdas (se necesitan ambos conteos positivos porque los logaritmos son simples, sin 1+x) y las (5)–(6) solo 9.200; la comparación HQ / no HQ es sugestiva pero frágil. Recomiendo mostrar (1)–(4) y comentar (5)–(6) en texto.</w:t>
      </w:r>
    </w:p>
    <w:p w14:paraId="04566BD1" w14:textId="1F36DB44" w:rsidR="009E7CCF" w:rsidRPr="00B80F36" w:rsidRDefault="00000000" w:rsidP="006C16F1">
      <w:pPr>
        <w:pStyle w:val="ListParagraph"/>
        <w:numPr>
          <w:ilvl w:val="0"/>
          <w:numId w:val="2"/>
        </w:numPr>
        <w:spacing w:before="80"/>
        <w:jc w:val="both"/>
        <w:rPr>
          <w:lang w:val="es-CO"/>
        </w:rPr>
      </w:pPr>
      <w:r w:rsidRPr="00B80F36">
        <w:rPr>
          <w:b/>
          <w:bCs/>
          <w:lang w:val="es-CO"/>
        </w:rPr>
        <w:t>Tabla 30 (margen extensivo descompuesto) — APOYO / APÉNDICE. Cualquier MNE extranjera 1,50 vs cualquier doméstica 1,47; a través de la casa matriz 1,39 vs no 1,51. Como contraste con la Tabla 29</w:t>
      </w:r>
      <w:r w:rsidR="006C4B71">
        <w:rPr>
          <w:lang w:val="es-CO"/>
        </w:rPr>
        <w:t>.</w:t>
      </w:r>
    </w:p>
    <w:p w14:paraId="0272E54E" w14:textId="404DCE41" w:rsidR="009E7CCF" w:rsidRPr="006C4B71" w:rsidRDefault="00000000" w:rsidP="006C16F1">
      <w:pPr>
        <w:pStyle w:val="ListParagraph"/>
        <w:numPr>
          <w:ilvl w:val="0"/>
          <w:numId w:val="2"/>
        </w:numPr>
        <w:spacing w:before="80"/>
        <w:jc w:val="both"/>
        <w:rPr>
          <w:lang w:val="es-CO"/>
        </w:rPr>
      </w:pPr>
      <w:r w:rsidRPr="00B80F36">
        <w:rPr>
          <w:b/>
          <w:bCs/>
          <w:lang w:val="es-CO"/>
        </w:rPr>
        <w:t>Tabla 26 (grupos en lugar de firmas) — NO MOSTRAR</w:t>
      </w:r>
      <w:r w:rsidR="006C4B71">
        <w:rPr>
          <w:b/>
          <w:bCs/>
          <w:lang w:val="es-CO"/>
        </w:rPr>
        <w:t>.</w:t>
      </w:r>
    </w:p>
    <w:p w14:paraId="0CD3938B" w14:textId="77777777" w:rsidR="009E7CCF" w:rsidRPr="00721629" w:rsidRDefault="00000000" w:rsidP="006C16F1">
      <w:pPr>
        <w:pStyle w:val="Heading3"/>
        <w:spacing w:before="80" w:after="0"/>
        <w:jc w:val="both"/>
        <w:rPr>
          <w:lang w:val="es-CO"/>
        </w:rPr>
      </w:pPr>
      <w:r w:rsidRPr="00721629">
        <w:rPr>
          <w:lang w:val="es-CO"/>
        </w:rPr>
        <w:t>Sectores</w:t>
      </w:r>
    </w:p>
    <w:p w14:paraId="2BCFE370" w14:textId="77777777" w:rsidR="009E7CCF" w:rsidRPr="00B80F36" w:rsidRDefault="00000000" w:rsidP="006C16F1">
      <w:pPr>
        <w:spacing w:before="80"/>
        <w:jc w:val="both"/>
        <w:rPr>
          <w:lang w:val="es-CO"/>
        </w:rPr>
      </w:pPr>
      <w:r w:rsidRPr="00B80F36">
        <w:rPr>
          <w:lang w:val="es-CO"/>
        </w:rPr>
        <w:t>La Tabla 29 sectorial se sostiene: agricultura 1,30 (extranjeras) vs 0,52 (domésticas) y sobre las locales 1,22 vs 0,57; manufactura 1,16 vs 0,38 y 1,05 vs 0,42; minería 1,13 vs 0,32 (</w:t>
      </w:r>
      <w:proofErr w:type="spellStart"/>
      <w:r w:rsidRPr="00B80F36">
        <w:rPr>
          <w:lang w:val="es-CO"/>
        </w:rPr>
        <w:t>n.s.</w:t>
      </w:r>
      <w:proofErr w:type="spellEnd"/>
      <w:r w:rsidRPr="00B80F36">
        <w:rPr>
          <w:lang w:val="es-CO"/>
        </w:rPr>
        <w:t>), con la advertencia de que en minería la columna con efectos fijos completos pierde significancia y las columnas HQ quedan en blanco por falta de observaciones. Propongo una tabla resumen con las filas "extranjeras" y "domésticas" para total y tres sectores (cuatro columnas).</w:t>
      </w:r>
    </w:p>
    <w:p w14:paraId="61550309" w14:textId="77777777" w:rsidR="009E7CCF" w:rsidRPr="00B80F36" w:rsidRDefault="00000000" w:rsidP="006C16F1">
      <w:pPr>
        <w:pStyle w:val="Heading1"/>
        <w:spacing w:before="80" w:after="0"/>
        <w:jc w:val="both"/>
        <w:rPr>
          <w:lang w:val="es-CO"/>
        </w:rPr>
      </w:pPr>
      <w:r w:rsidRPr="00B80F36">
        <w:rPr>
          <w:lang w:val="es-CO"/>
        </w:rPr>
        <w:t>7. Hecho 6 — La distancia frena menos a las MNE</w:t>
      </w:r>
    </w:p>
    <w:p w14:paraId="15626C8B" w14:textId="0948A665" w:rsidR="009E7CCF" w:rsidRPr="00B80F36" w:rsidRDefault="00000000" w:rsidP="006C16F1">
      <w:pPr>
        <w:pStyle w:val="ListParagraph"/>
        <w:numPr>
          <w:ilvl w:val="0"/>
          <w:numId w:val="2"/>
        </w:numPr>
        <w:spacing w:before="80"/>
        <w:jc w:val="both"/>
        <w:rPr>
          <w:lang w:val="es-CO"/>
        </w:rPr>
      </w:pPr>
      <w:r w:rsidRPr="00B80F36">
        <w:rPr>
          <w:b/>
          <w:bCs/>
          <w:lang w:val="es-CO"/>
        </w:rPr>
        <w:t>Tabla 32 (original, Tabla 2 de la nota) — MOSTRAR.</w:t>
      </w:r>
    </w:p>
    <w:p w14:paraId="7BEABA74" w14:textId="6FD4C1F8" w:rsidR="009E7CCF" w:rsidRPr="006C4B71" w:rsidRDefault="00000000" w:rsidP="006C16F1">
      <w:pPr>
        <w:pStyle w:val="ListParagraph"/>
        <w:numPr>
          <w:ilvl w:val="0"/>
          <w:numId w:val="2"/>
        </w:numPr>
        <w:spacing w:before="80"/>
        <w:jc w:val="both"/>
        <w:rPr>
          <w:lang w:val="es-CO"/>
        </w:rPr>
      </w:pPr>
      <w:r w:rsidRPr="00B80F36">
        <w:rPr>
          <w:b/>
          <w:bCs/>
          <w:lang w:val="es-CO"/>
        </w:rPr>
        <w:lastRenderedPageBreak/>
        <w:t xml:space="preserve">Tabla 33 (extranjeras / domésticas; a través de la casa matriz / no) — MOSTRAR. </w:t>
      </w:r>
      <w:r w:rsidRPr="00B80F36">
        <w:rPr>
          <w:lang w:val="es-CO"/>
        </w:rPr>
        <w:t>Interacción con distancia: extranjeras 0,049, domésticas 0,032; extranjeras presentes a través de la casa matriz 0,064, no presentes 0,048. Es decir, la atenuación de la distancia es un rasgo sobre todo de las extranjeras y, dentro de ellas, de las que venden al país de su matriz. Hay que leerlo con cuidado: "presente a través de la casa matriz" es, por definición, exportar al país de la matriz</w:t>
      </w:r>
      <w:r w:rsidR="006C4B71">
        <w:rPr>
          <w:lang w:val="es-CO"/>
        </w:rPr>
        <w:t>.</w:t>
      </w:r>
    </w:p>
    <w:p w14:paraId="76FFE98D" w14:textId="77777777" w:rsidR="009E7CCF" w:rsidRPr="00721629" w:rsidRDefault="00000000" w:rsidP="006C16F1">
      <w:pPr>
        <w:pStyle w:val="Heading3"/>
        <w:spacing w:before="80" w:after="0"/>
        <w:jc w:val="both"/>
        <w:rPr>
          <w:lang w:val="es-CO"/>
        </w:rPr>
      </w:pPr>
      <w:r w:rsidRPr="00721629">
        <w:rPr>
          <w:lang w:val="es-CO"/>
        </w:rPr>
        <w:t>Sectores</w:t>
      </w:r>
    </w:p>
    <w:p w14:paraId="52AFB856" w14:textId="77777777" w:rsidR="009E7CCF" w:rsidRPr="00B80F36" w:rsidRDefault="00000000" w:rsidP="006C16F1">
      <w:pPr>
        <w:spacing w:before="80"/>
        <w:jc w:val="both"/>
        <w:rPr>
          <w:lang w:val="es-CO"/>
        </w:rPr>
      </w:pPr>
      <w:r w:rsidRPr="00B80F36">
        <w:rPr>
          <w:lang w:val="es-CO"/>
        </w:rPr>
        <w:t xml:space="preserve">Agricultura: extranjeras 0,037 vs domésticas 0,019 (base −0,21). Manufactura: 0,052 vs 0,039 (base −0,15). Minería: la elasticidad base a la distancia es −0,09 y no significativa, la interacción doméstica (0,071) supera a la extranjera (0,057) y la fila HQ no es significativa: en </w:t>
      </w:r>
      <w:proofErr w:type="spellStart"/>
      <w:r w:rsidRPr="00B80F36">
        <w:rPr>
          <w:lang w:val="es-CO"/>
        </w:rPr>
        <w:t>commodities</w:t>
      </w:r>
      <w:proofErr w:type="spellEnd"/>
      <w:r w:rsidRPr="00B80F36">
        <w:rPr>
          <w:lang w:val="es-CO"/>
        </w:rPr>
        <w:t xml:space="preserve"> la distancia no es una barrera y la única MNE doméstica grande (Ecopetrol) exporta lejos. Propongo la misma tabla resumen de cuatro columnas que para el hecho 5.</w:t>
      </w:r>
    </w:p>
    <w:p w14:paraId="3A3FADA9" w14:textId="3588C34C" w:rsidR="009E7CCF" w:rsidRPr="00B80F36" w:rsidRDefault="00000000" w:rsidP="006C16F1">
      <w:pPr>
        <w:pStyle w:val="Heading1"/>
        <w:spacing w:before="80" w:after="0"/>
        <w:jc w:val="both"/>
        <w:rPr>
          <w:lang w:val="es-CO"/>
        </w:rPr>
      </w:pPr>
      <w:r w:rsidRPr="00B80F36">
        <w:rPr>
          <w:lang w:val="es-CO"/>
        </w:rPr>
        <w:t>8. Productos a seis dígitos</w:t>
      </w:r>
    </w:p>
    <w:p w14:paraId="37F5EDE2" w14:textId="4AB35D1A" w:rsidR="009E7CCF" w:rsidRPr="00B80F36" w:rsidRDefault="00000000" w:rsidP="006C16F1">
      <w:pPr>
        <w:pStyle w:val="ListParagraph"/>
        <w:numPr>
          <w:ilvl w:val="0"/>
          <w:numId w:val="2"/>
        </w:numPr>
        <w:spacing w:before="80"/>
        <w:jc w:val="both"/>
        <w:rPr>
          <w:lang w:val="es-CO"/>
        </w:rPr>
      </w:pPr>
      <w:r w:rsidRPr="00B80F36">
        <w:rPr>
          <w:b/>
          <w:bCs/>
          <w:lang w:val="es-CO"/>
        </w:rPr>
        <w:t xml:space="preserve">Figura 26 (top-20 HS6 por valor: extranjera / doméstica / local) — MOSTRAR. </w:t>
      </w:r>
      <w:r w:rsidRPr="00B80F36">
        <w:rPr>
          <w:lang w:val="es-CO"/>
        </w:rPr>
        <w:t>Petróleo crudo US$ 209 mm (75 % doméstica, 21 % extranjera), cobre en concentrado US$ 206 mm (83 % extranjera), oro US$ 136 mm (40 %)</w:t>
      </w:r>
      <w:r w:rsidR="006C4B71">
        <w:rPr>
          <w:lang w:val="es-CO"/>
        </w:rPr>
        <w:t xml:space="preserve">. </w:t>
      </w:r>
      <w:r w:rsidRPr="00B80F36">
        <w:rPr>
          <w:lang w:val="es-CO"/>
        </w:rPr>
        <w:t>La heterogeneidad producto a producto es enorme y es lo que hay que mostrar.</w:t>
      </w:r>
    </w:p>
    <w:p w14:paraId="70B3C77F" w14:textId="67758500" w:rsidR="009E7CCF" w:rsidRPr="00B80F36" w:rsidRDefault="00000000" w:rsidP="006C16F1">
      <w:pPr>
        <w:pStyle w:val="ListParagraph"/>
        <w:numPr>
          <w:ilvl w:val="0"/>
          <w:numId w:val="2"/>
        </w:numPr>
        <w:spacing w:before="80"/>
        <w:jc w:val="both"/>
        <w:rPr>
          <w:lang w:val="es-CO"/>
        </w:rPr>
      </w:pPr>
      <w:r w:rsidRPr="00B80F36">
        <w:rPr>
          <w:b/>
          <w:bCs/>
          <w:lang w:val="es-CO"/>
        </w:rPr>
        <w:t>Figura 27 (mismos 20, extranjera partida por matriz) — MOSTRAR. El mapa matriz-producto: GBR en cobre y carbón, CAN en oro, USA en soja, maíz, trigo y camisetas, DEU en camiones, CHE en torta de soja, FRA en autos, SAU en carne, ESP en refinados. Junto con la Tabla 35</w:t>
      </w:r>
      <w:r w:rsidRPr="00B80F36">
        <w:rPr>
          <w:lang w:val="es-CO"/>
        </w:rPr>
        <w:t xml:space="preserve"> (secciones HS: minerales 51 % extranjera y 29 % doméstica; transporte 78 %; instrumentos 72 %; maquinaria 63 %; textiles 49 % con USA 0,52)</w:t>
      </w:r>
      <w:r w:rsidR="006C4B71">
        <w:rPr>
          <w:lang w:val="es-CO"/>
        </w:rPr>
        <w:t>.</w:t>
      </w:r>
    </w:p>
    <w:p w14:paraId="3BF94F85" w14:textId="14725E84" w:rsidR="009E7CCF" w:rsidRPr="006C4B71" w:rsidRDefault="00000000" w:rsidP="006C16F1">
      <w:pPr>
        <w:pStyle w:val="ListParagraph"/>
        <w:numPr>
          <w:ilvl w:val="0"/>
          <w:numId w:val="2"/>
        </w:numPr>
        <w:spacing w:before="80"/>
        <w:jc w:val="both"/>
        <w:rPr>
          <w:lang w:val="es-CO"/>
        </w:rPr>
      </w:pPr>
      <w:r w:rsidRPr="00B80F36">
        <w:rPr>
          <w:b/>
          <w:bCs/>
          <w:lang w:val="es-CO"/>
        </w:rPr>
        <w:t xml:space="preserve">Figura 28 y Tabla 40 (distribución de la participación extranjera por producto) — APOYO / APÉNDICE. </w:t>
      </w:r>
      <w:r w:rsidRPr="00B80F36">
        <w:rPr>
          <w:lang w:val="es-CO"/>
        </w:rPr>
        <w:t xml:space="preserve">El 38 % del valor está en productos donde las extranjeras tienen más de la mitad (manufactura 46 %, minería 43 %, agricultura 25 %); el 52 % está en productos con 20–50 %. Los productos dominados por MNE en valor también lo están en número de firmas. </w:t>
      </w:r>
      <w:r w:rsidRPr="006C4B71">
        <w:rPr>
          <w:lang w:val="es-CO"/>
        </w:rPr>
        <w:t>Una frase.</w:t>
      </w:r>
    </w:p>
    <w:p w14:paraId="666C68DF" w14:textId="77777777" w:rsidR="009E7CCF" w:rsidRDefault="00000000" w:rsidP="006C16F1">
      <w:pPr>
        <w:pStyle w:val="ListParagraph"/>
        <w:numPr>
          <w:ilvl w:val="0"/>
          <w:numId w:val="2"/>
        </w:numPr>
        <w:spacing w:before="80"/>
        <w:jc w:val="both"/>
      </w:pPr>
      <w:r w:rsidRPr="00B80F36">
        <w:rPr>
          <w:b/>
          <w:bCs/>
          <w:lang w:val="es-CO"/>
        </w:rPr>
        <w:t xml:space="preserve">Figura 29 (Lorenz) — APOYO / APÉNDICE. </w:t>
      </w:r>
      <w:r w:rsidRPr="00B80F36">
        <w:rPr>
          <w:lang w:val="es-CO"/>
        </w:rPr>
        <w:t xml:space="preserve">15 productos = 50 % de las exportaciones de MNE extranjeras (en minería, 2 productos; en manufactura, 25). </w:t>
      </w:r>
      <w:r>
        <w:t xml:space="preserve">Una </w:t>
      </w:r>
      <w:proofErr w:type="spellStart"/>
      <w:r>
        <w:t>frase</w:t>
      </w:r>
      <w:proofErr w:type="spellEnd"/>
      <w:r>
        <w:t>.</w:t>
      </w:r>
    </w:p>
    <w:p w14:paraId="68001EC2"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Tablas 36–39 (top-30 por valor, por valor extranjero, mayor participación extranjera, mayor doméstica) — APOYO / APÉNDICE. </w:t>
      </w:r>
      <w:r w:rsidRPr="00B80F36">
        <w:rPr>
          <w:lang w:val="es-CO"/>
        </w:rPr>
        <w:t>Apéndice. Lo citable: productos 100 % extranjeros (ferroníquel ZAF, gas natural licuado USA, PVC MEX, automóviles JPN/NLD/USA) y productos dominados por domésticas (petróleo crudo 75 %, carbonato de litio 65 %, celulosa 54 %, aviones 53 %).</w:t>
      </w:r>
    </w:p>
    <w:p w14:paraId="4C24AC52" w14:textId="5EE48DA0" w:rsidR="009E7CCF" w:rsidRPr="00B80F36" w:rsidRDefault="00000000" w:rsidP="006C16F1">
      <w:pPr>
        <w:pStyle w:val="Heading1"/>
        <w:spacing w:before="80" w:after="0"/>
        <w:jc w:val="both"/>
        <w:rPr>
          <w:lang w:val="es-CO"/>
        </w:rPr>
      </w:pPr>
      <w:r w:rsidRPr="00B80F36">
        <w:rPr>
          <w:lang w:val="es-CO"/>
        </w:rPr>
        <w:t>9. Subclasificaciones sectoriales</w:t>
      </w:r>
    </w:p>
    <w:p w14:paraId="35F393DE" w14:textId="77777777" w:rsidR="009E7CCF" w:rsidRPr="00B80F36" w:rsidRDefault="00000000" w:rsidP="006C16F1">
      <w:pPr>
        <w:spacing w:before="80"/>
        <w:jc w:val="both"/>
        <w:rPr>
          <w:lang w:val="es-CO"/>
        </w:rPr>
      </w:pPr>
      <w:r w:rsidRPr="00B80F36">
        <w:rPr>
          <w:lang w:val="es-CO"/>
        </w:rPr>
        <w:t>Cada sector tiene siete cortes (secciones HS, uso final BEC, categorías BEC, divisiones SITC, NAICS, Lall y, en agricultura, insumos vs producto), cada uno con tabla, barras, mapa de calor origen × subsector y composición por matriz. Es demasiado: los cortes se solapan (NAICS y SITC dicen lo mismo que las secciones HS) y hay que elegir uno por sector.</w:t>
      </w:r>
    </w:p>
    <w:p w14:paraId="64D63A1D" w14:textId="511EF1D2" w:rsidR="009E7CCF" w:rsidRPr="00B80F36" w:rsidRDefault="00000000" w:rsidP="006C16F1">
      <w:pPr>
        <w:pStyle w:val="Heading1"/>
        <w:spacing w:before="80" w:after="0"/>
        <w:jc w:val="both"/>
        <w:rPr>
          <w:lang w:val="es-CO"/>
        </w:rPr>
      </w:pPr>
      <w:r w:rsidRPr="00B80F36">
        <w:rPr>
          <w:lang w:val="es-CO"/>
        </w:rPr>
        <w:t>10. Propuesta</w:t>
      </w:r>
    </w:p>
    <w:p w14:paraId="098052C4" w14:textId="5CF5DC09" w:rsidR="009E7CCF" w:rsidRPr="00B80F36" w:rsidRDefault="00000000" w:rsidP="006C16F1">
      <w:pPr>
        <w:spacing w:before="80"/>
        <w:jc w:val="both"/>
        <w:rPr>
          <w:lang w:val="es-CO"/>
        </w:rPr>
      </w:pPr>
      <w:r w:rsidRPr="00B80F36">
        <w:rPr>
          <w:lang w:val="es-CO"/>
        </w:rPr>
        <w:t xml:space="preserve">Doce </w:t>
      </w:r>
      <w:proofErr w:type="spellStart"/>
      <w:r w:rsidRPr="00B80F36">
        <w:rPr>
          <w:lang w:val="es-CO"/>
        </w:rPr>
        <w:t>exhibits</w:t>
      </w:r>
      <w:proofErr w:type="spellEnd"/>
      <w:r w:rsidRPr="00B80F36">
        <w:rPr>
          <w:lang w:val="es-CO"/>
        </w:rPr>
        <w:t>, contarían la historia completa:</w:t>
      </w:r>
    </w:p>
    <w:p w14:paraId="1AF3CFB8"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1. </w:t>
      </w:r>
      <w:r w:rsidRPr="00B80F36">
        <w:rPr>
          <w:lang w:val="es-CO"/>
        </w:rPr>
        <w:t>Figura 1 y Figura 2 (hecho 1, con la barra extranjera por matriz) más la Tabla 41/42 de sectores.</w:t>
      </w:r>
    </w:p>
    <w:p w14:paraId="16748742"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2. </w:t>
      </w:r>
      <w:r w:rsidRPr="00B80F36">
        <w:rPr>
          <w:lang w:val="es-CO"/>
        </w:rPr>
        <w:t>Figura 5 (PCI original) con la Figura 7 (PCI por matriz) y la Tabla 5 / Figura 14 (Rauch dos clases), diciendo que el hecho 2 vive en manufactura.</w:t>
      </w:r>
    </w:p>
    <w:p w14:paraId="0F75B869"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3. </w:t>
      </w:r>
      <w:r w:rsidRPr="00B80F36">
        <w:rPr>
          <w:lang w:val="es-CO"/>
        </w:rPr>
        <w:t>Figura 15 / Tabla 8 (ranking de matrices) con la Tabla 13 (matriz × destino) y la Figura 19 (parte exportada al país de la matriz, total y por sector).</w:t>
      </w:r>
    </w:p>
    <w:p w14:paraId="323047EC" w14:textId="5525813E" w:rsidR="009E7CCF" w:rsidRPr="00B80F36" w:rsidRDefault="00000000" w:rsidP="006C16F1">
      <w:pPr>
        <w:pStyle w:val="ListParagraph"/>
        <w:numPr>
          <w:ilvl w:val="0"/>
          <w:numId w:val="2"/>
        </w:numPr>
        <w:spacing w:before="80"/>
        <w:jc w:val="both"/>
        <w:rPr>
          <w:lang w:val="es-CO"/>
        </w:rPr>
      </w:pPr>
      <w:r w:rsidRPr="00B80F36">
        <w:rPr>
          <w:b/>
          <w:bCs/>
          <w:lang w:val="es-CO"/>
        </w:rPr>
        <w:lastRenderedPageBreak/>
        <w:t xml:space="preserve">4. </w:t>
      </w:r>
      <w:r w:rsidR="004A69D9">
        <w:rPr>
          <w:lang w:val="es-CO"/>
        </w:rPr>
        <w:t>Pa</w:t>
      </w:r>
      <w:r w:rsidRPr="00B80F36">
        <w:rPr>
          <w:lang w:val="es-CO"/>
        </w:rPr>
        <w:t>rticipación de las MNE de EE. UU. en las exportaciones de cada país a EE. UU., total y manufactura (CRI 54 %, SLV 47 %, DOM 31 %), y la lista de productos que van a casa.</w:t>
      </w:r>
    </w:p>
    <w:p w14:paraId="0143EFEC"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5. </w:t>
      </w:r>
      <w:r w:rsidRPr="00B80F36">
        <w:rPr>
          <w:lang w:val="es-CO"/>
        </w:rPr>
        <w:t>Figura 24 (tamaño de red) con una frase sobre HHI.</w:t>
      </w:r>
    </w:p>
    <w:p w14:paraId="2657D347"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6. </w:t>
      </w:r>
      <w:r w:rsidRPr="00B80F36">
        <w:rPr>
          <w:lang w:val="es-CO"/>
        </w:rPr>
        <w:t>Tabla 27 y Tabla 29 (hecho 5 y su descomposición), más la tabla resumen sectorial de cuatro columnas.</w:t>
      </w:r>
    </w:p>
    <w:p w14:paraId="12511A85"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7. </w:t>
      </w:r>
      <w:r w:rsidRPr="00B80F36">
        <w:rPr>
          <w:lang w:val="es-CO"/>
        </w:rPr>
        <w:t>Tabla 32 y Tabla 33 (hecho 6 y su descomposición), más la misma tabla resumen sectorial.</w:t>
      </w:r>
    </w:p>
    <w:p w14:paraId="4C73297C"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8. </w:t>
      </w:r>
      <w:r w:rsidRPr="00B80F36">
        <w:rPr>
          <w:lang w:val="es-CO"/>
        </w:rPr>
        <w:t>Figuras 26–27 y Tabla 35 (productos y secciones).</w:t>
      </w:r>
    </w:p>
    <w:p w14:paraId="790B4EFA" w14:textId="77777777" w:rsidR="009E7CCF" w:rsidRPr="00B80F36" w:rsidRDefault="00000000" w:rsidP="006C16F1">
      <w:pPr>
        <w:pStyle w:val="ListParagraph"/>
        <w:numPr>
          <w:ilvl w:val="0"/>
          <w:numId w:val="2"/>
        </w:numPr>
        <w:spacing w:before="80"/>
        <w:jc w:val="both"/>
        <w:rPr>
          <w:lang w:val="es-CO"/>
        </w:rPr>
      </w:pPr>
      <w:r w:rsidRPr="00B80F36">
        <w:rPr>
          <w:b/>
          <w:bCs/>
          <w:lang w:val="es-CO"/>
        </w:rPr>
        <w:t xml:space="preserve">9. </w:t>
      </w:r>
      <w:r w:rsidRPr="00B80F36">
        <w:rPr>
          <w:lang w:val="es-CO"/>
        </w:rPr>
        <w:t>Una tabla por sector de subclasificación: SITC en agricultura, secciones HS y BEC en manufactura, BEC o SITC en minería.</w:t>
      </w:r>
    </w:p>
    <w:p w14:paraId="41E1B592" w14:textId="7608576F" w:rsidR="009E7CCF" w:rsidRDefault="00000000" w:rsidP="006C16F1">
      <w:pPr>
        <w:spacing w:before="80"/>
        <w:jc w:val="both"/>
        <w:rPr>
          <w:lang w:val="es-CO"/>
        </w:rPr>
      </w:pPr>
      <w:r w:rsidRPr="00B80F36">
        <w:rPr>
          <w:lang w:val="es-CO"/>
        </w:rPr>
        <w:t>Todo lo demás queda como apéndice o respaldo</w:t>
      </w:r>
      <w:r w:rsidR="004A69D9">
        <w:rPr>
          <w:lang w:val="es-CO"/>
        </w:rPr>
        <w:t>.</w:t>
      </w:r>
    </w:p>
    <w:p w14:paraId="092674A7" w14:textId="77777777" w:rsidR="00721629" w:rsidRDefault="00721629" w:rsidP="006C16F1">
      <w:pPr>
        <w:spacing w:before="80"/>
        <w:jc w:val="both"/>
        <w:rPr>
          <w:lang w:val="es-CO"/>
        </w:rPr>
      </w:pPr>
    </w:p>
    <w:p w14:paraId="64150138" w14:textId="0E0D5714" w:rsidR="0066502B" w:rsidRDefault="0066502B" w:rsidP="006C16F1">
      <w:pPr>
        <w:spacing w:before="80"/>
        <w:jc w:val="both"/>
        <w:rPr>
          <w:lang w:val="es-CO"/>
        </w:rPr>
      </w:pPr>
      <w:r>
        <w:rPr>
          <w:lang w:val="es-CO"/>
        </w:rPr>
        <w:t xml:space="preserve">Para el de agricultura limpiar la historia de USA. </w:t>
      </w:r>
    </w:p>
    <w:p w14:paraId="6D1D6FB0" w14:textId="420D8269" w:rsidR="0066502B" w:rsidRDefault="00B53D80" w:rsidP="006C16F1">
      <w:pPr>
        <w:spacing w:before="80"/>
        <w:jc w:val="both"/>
        <w:rPr>
          <w:lang w:val="es-CO"/>
        </w:rPr>
      </w:pPr>
      <w:r>
        <w:rPr>
          <w:lang w:val="es-CO"/>
        </w:rPr>
        <w:t xml:space="preserve">Ya con el </w:t>
      </w:r>
      <w:proofErr w:type="spellStart"/>
      <w:r>
        <w:rPr>
          <w:lang w:val="es-CO"/>
        </w:rPr>
        <w:t>outline</w:t>
      </w:r>
      <w:proofErr w:type="spellEnd"/>
      <w:r>
        <w:rPr>
          <w:lang w:val="es-CO"/>
        </w:rPr>
        <w:t xml:space="preserve"> tenemos las secciones y armamos el </w:t>
      </w:r>
      <w:proofErr w:type="spellStart"/>
      <w:r>
        <w:rPr>
          <w:lang w:val="es-CO"/>
        </w:rPr>
        <w:t>working</w:t>
      </w:r>
      <w:proofErr w:type="spellEnd"/>
      <w:r>
        <w:rPr>
          <w:lang w:val="es-CO"/>
        </w:rPr>
        <w:t xml:space="preserve"> </w:t>
      </w:r>
      <w:proofErr w:type="spellStart"/>
      <w:r>
        <w:rPr>
          <w:lang w:val="es-CO"/>
        </w:rPr>
        <w:t>paper</w:t>
      </w:r>
      <w:proofErr w:type="spellEnd"/>
      <w:r>
        <w:rPr>
          <w:lang w:val="es-CO"/>
        </w:rPr>
        <w:t xml:space="preserve"> mostrándolos en orden para que quede simple y completo</w:t>
      </w:r>
      <w:r w:rsidR="00203BC9">
        <w:rPr>
          <w:lang w:val="es-CO"/>
        </w:rPr>
        <w:t>.</w:t>
      </w:r>
    </w:p>
    <w:p w14:paraId="374AC0A2" w14:textId="77777777" w:rsidR="00CC7CD8" w:rsidRDefault="00CC7CD8" w:rsidP="006C16F1">
      <w:pPr>
        <w:spacing w:before="80"/>
        <w:jc w:val="both"/>
        <w:rPr>
          <w:lang w:val="es-CO"/>
        </w:rPr>
      </w:pPr>
    </w:p>
    <w:p w14:paraId="551896B1" w14:textId="77777777" w:rsidR="006A5C77" w:rsidRDefault="006A5C77" w:rsidP="006C16F1">
      <w:pPr>
        <w:spacing w:before="80"/>
        <w:jc w:val="both"/>
        <w:rPr>
          <w:lang w:val="es-CO"/>
        </w:rPr>
      </w:pPr>
    </w:p>
    <w:p w14:paraId="68163297" w14:textId="77777777" w:rsidR="00B53D80" w:rsidRDefault="00B53D80" w:rsidP="006C16F1">
      <w:pPr>
        <w:spacing w:before="80"/>
        <w:jc w:val="both"/>
        <w:rPr>
          <w:lang w:val="es-CO"/>
        </w:rPr>
      </w:pPr>
    </w:p>
    <w:p w14:paraId="178D18BB" w14:textId="77777777" w:rsidR="006A5C77" w:rsidRDefault="006A5C77" w:rsidP="006C16F1">
      <w:pPr>
        <w:spacing w:before="80"/>
        <w:jc w:val="both"/>
        <w:rPr>
          <w:lang w:val="es-CO"/>
        </w:rPr>
      </w:pPr>
    </w:p>
    <w:p w14:paraId="6104D602" w14:textId="77777777" w:rsidR="00BF2251" w:rsidRDefault="00BF2251" w:rsidP="006C16F1">
      <w:pPr>
        <w:spacing w:before="80"/>
        <w:jc w:val="both"/>
        <w:rPr>
          <w:lang w:val="es-CO"/>
        </w:rPr>
      </w:pPr>
    </w:p>
    <w:p w14:paraId="0E769D1A" w14:textId="77777777" w:rsidR="00BF2251" w:rsidRDefault="00BF2251" w:rsidP="006C16F1">
      <w:pPr>
        <w:spacing w:before="80"/>
        <w:jc w:val="both"/>
        <w:rPr>
          <w:lang w:val="es-CO"/>
        </w:rPr>
      </w:pPr>
    </w:p>
    <w:p w14:paraId="32FF9A8F" w14:textId="77777777" w:rsidR="00BF2251" w:rsidRDefault="00BF2251" w:rsidP="006C16F1">
      <w:pPr>
        <w:spacing w:before="80"/>
        <w:jc w:val="both"/>
        <w:rPr>
          <w:lang w:val="es-CO"/>
        </w:rPr>
      </w:pPr>
    </w:p>
    <w:p w14:paraId="3DA30EE3" w14:textId="77777777" w:rsidR="00D87CB5" w:rsidRPr="00D87CB5" w:rsidRDefault="00D87CB5" w:rsidP="006C16F1">
      <w:pPr>
        <w:spacing w:before="80"/>
        <w:jc w:val="both"/>
        <w:rPr>
          <w:lang w:val="es-CO"/>
        </w:rPr>
      </w:pPr>
    </w:p>
    <w:p w14:paraId="6DF837CE" w14:textId="77777777" w:rsidR="00F42509" w:rsidRPr="00D87CB5" w:rsidRDefault="00F42509" w:rsidP="006C16F1">
      <w:pPr>
        <w:spacing w:before="80"/>
        <w:jc w:val="both"/>
        <w:rPr>
          <w:lang w:val="es-CO"/>
        </w:rPr>
      </w:pPr>
    </w:p>
    <w:p w14:paraId="0B6121FD" w14:textId="77777777" w:rsidR="00721629" w:rsidRPr="00D87CB5" w:rsidRDefault="00721629" w:rsidP="006C16F1">
      <w:pPr>
        <w:spacing w:before="80"/>
        <w:jc w:val="both"/>
        <w:rPr>
          <w:lang w:val="es-CO"/>
        </w:rPr>
      </w:pPr>
    </w:p>
    <w:p w14:paraId="21FEB59F" w14:textId="77777777" w:rsidR="00721629" w:rsidRPr="00D87CB5" w:rsidRDefault="00721629" w:rsidP="006C16F1">
      <w:pPr>
        <w:spacing w:before="80"/>
        <w:jc w:val="both"/>
        <w:rPr>
          <w:lang w:val="es-CO"/>
        </w:rPr>
      </w:pPr>
    </w:p>
    <w:sectPr w:rsidR="00721629" w:rsidRPr="00D87CB5" w:rsidSect="003B1DE6">
      <w:pgSz w:w="12240" w:h="15840"/>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46A82"/>
    <w:multiLevelType w:val="hybridMultilevel"/>
    <w:tmpl w:val="7AA445CC"/>
    <w:lvl w:ilvl="0" w:tplc="F05C85EE">
      <w:start w:val="1"/>
      <w:numFmt w:val="bullet"/>
      <w:lvlText w:val="●"/>
      <w:lvlJc w:val="left"/>
      <w:pPr>
        <w:ind w:left="720" w:hanging="360"/>
      </w:pPr>
    </w:lvl>
    <w:lvl w:ilvl="1" w:tplc="5B5E97D6">
      <w:start w:val="1"/>
      <w:numFmt w:val="bullet"/>
      <w:lvlText w:val="○"/>
      <w:lvlJc w:val="left"/>
      <w:pPr>
        <w:ind w:left="1440" w:hanging="360"/>
      </w:pPr>
    </w:lvl>
    <w:lvl w:ilvl="2" w:tplc="6BA4F5E4">
      <w:start w:val="1"/>
      <w:numFmt w:val="bullet"/>
      <w:lvlText w:val="■"/>
      <w:lvlJc w:val="left"/>
      <w:pPr>
        <w:ind w:left="2160" w:hanging="360"/>
      </w:pPr>
    </w:lvl>
    <w:lvl w:ilvl="3" w:tplc="C5C6D164">
      <w:start w:val="1"/>
      <w:numFmt w:val="bullet"/>
      <w:lvlText w:val="●"/>
      <w:lvlJc w:val="left"/>
      <w:pPr>
        <w:ind w:left="2880" w:hanging="360"/>
      </w:pPr>
    </w:lvl>
    <w:lvl w:ilvl="4" w:tplc="80E0AEFC">
      <w:start w:val="1"/>
      <w:numFmt w:val="bullet"/>
      <w:lvlText w:val="○"/>
      <w:lvlJc w:val="left"/>
      <w:pPr>
        <w:ind w:left="3600" w:hanging="360"/>
      </w:pPr>
    </w:lvl>
    <w:lvl w:ilvl="5" w:tplc="81B6BD50">
      <w:start w:val="1"/>
      <w:numFmt w:val="bullet"/>
      <w:lvlText w:val="■"/>
      <w:lvlJc w:val="left"/>
      <w:pPr>
        <w:ind w:left="4320" w:hanging="360"/>
      </w:pPr>
    </w:lvl>
    <w:lvl w:ilvl="6" w:tplc="4622F80E">
      <w:start w:val="1"/>
      <w:numFmt w:val="bullet"/>
      <w:lvlText w:val="●"/>
      <w:lvlJc w:val="left"/>
      <w:pPr>
        <w:ind w:left="5040" w:hanging="360"/>
      </w:pPr>
    </w:lvl>
    <w:lvl w:ilvl="7" w:tplc="D9FE7484">
      <w:start w:val="1"/>
      <w:numFmt w:val="bullet"/>
      <w:lvlText w:val="●"/>
      <w:lvlJc w:val="left"/>
      <w:pPr>
        <w:ind w:left="5760" w:hanging="360"/>
      </w:pPr>
    </w:lvl>
    <w:lvl w:ilvl="8" w:tplc="46FC9B7E">
      <w:start w:val="1"/>
      <w:numFmt w:val="bullet"/>
      <w:lvlText w:val="●"/>
      <w:lvlJc w:val="left"/>
      <w:pPr>
        <w:ind w:left="6480" w:hanging="360"/>
      </w:pPr>
    </w:lvl>
  </w:abstractNum>
  <w:abstractNum w:abstractNumId="1" w15:restartNumberingAfterBreak="0">
    <w:nsid w:val="325A56AD"/>
    <w:multiLevelType w:val="hybridMultilevel"/>
    <w:tmpl w:val="E182B56C"/>
    <w:lvl w:ilvl="0" w:tplc="8F5AD15E">
      <w:start w:val="1"/>
      <w:numFmt w:val="bullet"/>
      <w:lvlText w:val="•"/>
      <w:lvlJc w:val="left"/>
      <w:pPr>
        <w:ind w:left="540" w:hanging="300"/>
      </w:pPr>
    </w:lvl>
    <w:lvl w:ilvl="1" w:tplc="C39CCDA0">
      <w:start w:val="1"/>
      <w:numFmt w:val="bullet"/>
      <w:lvlText w:val="–"/>
      <w:lvlJc w:val="left"/>
      <w:pPr>
        <w:ind w:left="1000" w:hanging="300"/>
      </w:pPr>
    </w:lvl>
    <w:lvl w:ilvl="2" w:tplc="E8DCDB44">
      <w:numFmt w:val="decimal"/>
      <w:lvlText w:val=""/>
      <w:lvlJc w:val="left"/>
    </w:lvl>
    <w:lvl w:ilvl="3" w:tplc="70D04EE2">
      <w:numFmt w:val="decimal"/>
      <w:lvlText w:val=""/>
      <w:lvlJc w:val="left"/>
    </w:lvl>
    <w:lvl w:ilvl="4" w:tplc="8BEECF2A">
      <w:numFmt w:val="decimal"/>
      <w:lvlText w:val=""/>
      <w:lvlJc w:val="left"/>
    </w:lvl>
    <w:lvl w:ilvl="5" w:tplc="092C1BAA">
      <w:numFmt w:val="decimal"/>
      <w:lvlText w:val=""/>
      <w:lvlJc w:val="left"/>
    </w:lvl>
    <w:lvl w:ilvl="6" w:tplc="C31C86F8">
      <w:numFmt w:val="decimal"/>
      <w:lvlText w:val=""/>
      <w:lvlJc w:val="left"/>
    </w:lvl>
    <w:lvl w:ilvl="7" w:tplc="7438ED24">
      <w:numFmt w:val="decimal"/>
      <w:lvlText w:val=""/>
      <w:lvlJc w:val="left"/>
    </w:lvl>
    <w:lvl w:ilvl="8" w:tplc="0D84F6A8">
      <w:numFmt w:val="decimal"/>
      <w:lvlText w:val=""/>
      <w:lvlJc w:val="left"/>
    </w:lvl>
  </w:abstractNum>
  <w:abstractNum w:abstractNumId="2" w15:restartNumberingAfterBreak="0">
    <w:nsid w:val="32813AF7"/>
    <w:multiLevelType w:val="multilevel"/>
    <w:tmpl w:val="BD34029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34358830">
    <w:abstractNumId w:val="0"/>
    <w:lvlOverride w:ilvl="0">
      <w:startOverride w:val="1"/>
    </w:lvlOverride>
  </w:num>
  <w:num w:numId="2" w16cid:durableId="1979187676">
    <w:abstractNumId w:val="1"/>
    <w:lvlOverride w:ilvl="0">
      <w:startOverride w:val="1"/>
    </w:lvlOverride>
  </w:num>
  <w:num w:numId="3" w16cid:durableId="1904365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CF"/>
    <w:rsid w:val="000F7F05"/>
    <w:rsid w:val="00203BC9"/>
    <w:rsid w:val="0027363F"/>
    <w:rsid w:val="00351638"/>
    <w:rsid w:val="003B1DE6"/>
    <w:rsid w:val="004A69D9"/>
    <w:rsid w:val="00640B13"/>
    <w:rsid w:val="0066502B"/>
    <w:rsid w:val="006A5C77"/>
    <w:rsid w:val="006C16F1"/>
    <w:rsid w:val="006C4B71"/>
    <w:rsid w:val="006F7909"/>
    <w:rsid w:val="00721629"/>
    <w:rsid w:val="0085674F"/>
    <w:rsid w:val="00944D26"/>
    <w:rsid w:val="00991191"/>
    <w:rsid w:val="009E7CCF"/>
    <w:rsid w:val="00B53D80"/>
    <w:rsid w:val="00B80F36"/>
    <w:rsid w:val="00BA538C"/>
    <w:rsid w:val="00BF2251"/>
    <w:rsid w:val="00CC7CD8"/>
    <w:rsid w:val="00CD5CF9"/>
    <w:rsid w:val="00D406AE"/>
    <w:rsid w:val="00D87CB5"/>
    <w:rsid w:val="00DC1346"/>
    <w:rsid w:val="00E56D75"/>
    <w:rsid w:val="00F42509"/>
    <w:rsid w:val="00F52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834C"/>
  <w15:docId w15:val="{8FE12BBE-9D60-4B7A-9CD7-F28142BEE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0"/>
      <w:szCs w:val="30"/>
    </w:rPr>
  </w:style>
  <w:style w:type="paragraph" w:styleId="Heading2">
    <w:name w:val="heading 2"/>
    <w:uiPriority w:val="9"/>
    <w:unhideWhenUsed/>
    <w:qFormat/>
    <w:pPr>
      <w:spacing w:before="240" w:after="100"/>
      <w:outlineLvl w:val="1"/>
    </w:pPr>
    <w:rPr>
      <w:b/>
      <w:bCs/>
      <w:color w:val="1F3864"/>
      <w:sz w:val="26"/>
      <w:szCs w:val="26"/>
    </w:rPr>
  </w:style>
  <w:style w:type="paragraph" w:styleId="Heading3">
    <w:name w:val="heading 3"/>
    <w:uiPriority w:val="9"/>
    <w:unhideWhenUsed/>
    <w:qFormat/>
    <w:pPr>
      <w:spacing w:before="180" w:after="80"/>
      <w:outlineLvl w:val="2"/>
    </w:pPr>
    <w:rPr>
      <w:b/>
      <w:bCs/>
      <w:i/>
      <w:iCs/>
      <w:color w:val="365C9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1654</TotalTime>
  <Pages>7</Pages>
  <Words>3386</Words>
  <Characters>19305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VELASQUEZ PALACIOS , JOHN SEBASTIAN</cp:lastModifiedBy>
  <cp:revision>7</cp:revision>
  <dcterms:created xsi:type="dcterms:W3CDTF">2026-09-14T19:58:00Z</dcterms:created>
  <dcterms:modified xsi:type="dcterms:W3CDTF">2026-09-22T14:41:00Z</dcterms:modified>
</cp:coreProperties>
</file>