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4B10" w14:textId="0276EAD6" w:rsidR="00F11848" w:rsidRDefault="00F11848" w:rsidP="00F11848">
      <w:r>
        <w:t>Literature review – FDI – MNEs – Agriculture</w:t>
      </w:r>
    </w:p>
    <w:p w14:paraId="06AFC9BF" w14:textId="77777777" w:rsidR="00F11848" w:rsidRDefault="00F11848" w:rsidP="00F11848"/>
    <w:p w14:paraId="20DB620E" w14:textId="1C69D013" w:rsidR="00F11848" w:rsidRPr="00F11848" w:rsidRDefault="00F11848" w:rsidP="00F11848">
      <w:pPr>
        <w:rPr>
          <w:b/>
          <w:bCs/>
        </w:rPr>
      </w:pPr>
      <w:r w:rsidRPr="00F11848">
        <w:rPr>
          <w:b/>
          <w:bCs/>
        </w:rPr>
        <w:t xml:space="preserve">1. Welfare Effects of Agricultural Foreign Direct Investment in Developing Countries  </w:t>
      </w:r>
    </w:p>
    <w:p w14:paraId="5ECC367E" w14:textId="271BCE57" w:rsidR="00F11848" w:rsidRDefault="00F11848" w:rsidP="00F11848">
      <w:r>
        <w:t xml:space="preserve">This study investigates the welfare impacts of FDI in agriculture across 51 developing countries from 1990 to 2019, using a fixed-effects estimator. It finds that agricultural FDI promotes welfare by enhancing economic growth, employment, and technology transfer. However, negative effects include land grabbing and competition with local produce. Factors like trade openness, population growth, human capital, and infrastructure amplify welfare benefits, while government expenditure does not significantly contribute.  </w:t>
      </w:r>
    </w:p>
    <w:p w14:paraId="5B535F4E" w14:textId="4D1DE343" w:rsidR="00F11848" w:rsidRDefault="00F11848" w:rsidP="00F11848">
      <w:r>
        <w:t xml:space="preserve">Agricultural FDI has a net positive effect on welfare but requires careful policy design to mitigate land-related conflicts. The eclectic paradigm (Dunning’s OLI framework) underpins the analysis, highlighting ownership, location, and internalization advantages of MNCs.  </w:t>
      </w:r>
    </w:p>
    <w:p w14:paraId="6FDF7313" w14:textId="50EC1529" w:rsidR="00F11848" w:rsidRDefault="00F11848" w:rsidP="00F11848">
      <w:r>
        <w:t xml:space="preserve">Djokoto, J. G. (2022). Welfare Effects of Agricultural Foreign Direct Investment in Developing Countries. Frontiers in Sustainable Food Systems.  </w:t>
      </w:r>
    </w:p>
    <w:p w14:paraId="6A4E92EA" w14:textId="1798451E" w:rsidR="00F11848" w:rsidRPr="00F11848" w:rsidRDefault="00F11848" w:rsidP="00F11848">
      <w:pPr>
        <w:rPr>
          <w:b/>
          <w:bCs/>
        </w:rPr>
      </w:pPr>
      <w:r w:rsidRPr="00F11848">
        <w:rPr>
          <w:b/>
          <w:bCs/>
        </w:rPr>
        <w:t xml:space="preserve">2. Impact of Foreign Direct Investment on Greenhouse Gas Emissions in Agriculture of Developing Countries  </w:t>
      </w:r>
    </w:p>
    <w:p w14:paraId="3ADBBA55" w14:textId="0BF4A355" w:rsidR="00F11848" w:rsidRDefault="00F11848" w:rsidP="00F11848">
      <w:r>
        <w:t xml:space="preserve">This paper examines how FDI by MNCs in agriculture affects greenhouse gas emissions in developing countries. Using panel data, it finds that FDI increases emissions due to intensified production and reliance on mechanized farming. However, technology transfers from MNCs can reduce emissions intensity if paired with environmental regulations.  </w:t>
      </w:r>
    </w:p>
    <w:p w14:paraId="1A882101" w14:textId="432ABAC3" w:rsidR="00F11848" w:rsidRDefault="00F11848" w:rsidP="00F11848">
      <w:r>
        <w:t xml:space="preserve">FDI in agriculture has mixed environmental impacts, with MNCs driving both emission increases and potential mitigation through advanced technologies. Strong regulatory frameworks are essential.  </w:t>
      </w:r>
    </w:p>
    <w:p w14:paraId="16998276" w14:textId="45024401" w:rsidR="00F11848" w:rsidRDefault="00F11848" w:rsidP="00F11848">
      <w:r>
        <w:t xml:space="preserve">Kastratović, R. (2019). Impact of foreign direct investment on greenhouse gas emissions in agriculture of developing countries. Australian Journal of Agricultural and Resource Economics, 63, 620–642. doi: 10.1111/1467-8489.12309  </w:t>
      </w:r>
    </w:p>
    <w:p w14:paraId="1A2EADA7" w14:textId="4F1495F4" w:rsidR="00F11848" w:rsidRPr="00F11848" w:rsidRDefault="00F11848" w:rsidP="00F11848">
      <w:pPr>
        <w:rPr>
          <w:b/>
          <w:bCs/>
        </w:rPr>
      </w:pPr>
      <w:r w:rsidRPr="00F11848">
        <w:rPr>
          <w:b/>
          <w:bCs/>
        </w:rPr>
        <w:t xml:space="preserve">3. Foreign Direct Investment’s Impact on China’s Economic Growth, Technological Innovation and Pollution  </w:t>
      </w:r>
    </w:p>
    <w:p w14:paraId="399F6829" w14:textId="3BE416F0" w:rsidR="00F11848" w:rsidRDefault="00F11848" w:rsidP="00F11848">
      <w:r>
        <w:t xml:space="preserve">This paper analyzes FDI’s effects on China’s economy, focusing on agriculture among other sectors, using provincial data from 30 regions (1990–2019). It finds that FDI has negative backward spillover effects (hurting upstream domestic firms) but positive horizontal </w:t>
      </w:r>
      <w:r>
        <w:lastRenderedPageBreak/>
        <w:t xml:space="preserve">spillovers (benefiting firms in the same sector) on agricultural innovation. Firms with stronger absorptive capacity benefit more from FDI spillovers.  </w:t>
      </w:r>
    </w:p>
    <w:p w14:paraId="336BB0C8" w14:textId="3850D758" w:rsidR="00F11848" w:rsidRDefault="00F11848" w:rsidP="00F11848">
      <w:r>
        <w:t xml:space="preserve">FDI by MNCs boosts agricultural innovation in China but has complex spillover effects, requiring firms to have sufficient R&amp;D capacity to maximize benefits. Environmental pollution is a noted downside.  </w:t>
      </w:r>
    </w:p>
    <w:p w14:paraId="612731DC" w14:textId="3A4DC540" w:rsidR="00F11848" w:rsidRDefault="00F11848" w:rsidP="00F11848">
      <w:r>
        <w:t xml:space="preserve">Han, Y., &amp; Wu, L. P. (2021). Foreign Direct Investment’s Impact on China’s Economic Growth, Technological Innovation and Pollution. PLoS One.  </w:t>
      </w:r>
    </w:p>
    <w:p w14:paraId="37B0B312" w14:textId="71A0A594" w:rsidR="00F11848" w:rsidRPr="00F11848" w:rsidRDefault="00F11848" w:rsidP="00F11848">
      <w:pPr>
        <w:rPr>
          <w:b/>
          <w:bCs/>
        </w:rPr>
      </w:pPr>
      <w:r w:rsidRPr="00F11848">
        <w:rPr>
          <w:b/>
          <w:bCs/>
        </w:rPr>
        <w:t xml:space="preserve">4. Foreign Direct Investment Flows to Agriculture (2013–2022)  </w:t>
      </w:r>
    </w:p>
    <w:p w14:paraId="239B90CB" w14:textId="549500D0" w:rsidR="00F11848" w:rsidRDefault="00F11848" w:rsidP="00F11848">
      <w:r>
        <w:t xml:space="preserve">This report compiles data on FDI flows to agriculture globally from 2013 to 2022, highlighting MNC investments. It notes a marginal decline in global FDI inflows (USD 1.36 trillion to USD 1.35 trillion), with China leading agricultural FDI outflows (USD 1.71 billion annually, 2018–2022). The report emphasizes FDI’s role in creating stable economic links but notes uneven distribution favoring certain regions.  </w:t>
      </w:r>
    </w:p>
    <w:p w14:paraId="220E8C4C" w14:textId="734D2039" w:rsidR="00F11848" w:rsidRDefault="00F11848" w:rsidP="00F11848">
      <w:r>
        <w:t xml:space="preserve">Agricultural FDI is concentrated in specific economies, with MNCs driving capital and technology flows. Developing countries face challenges in attracting equitable FDI.  </w:t>
      </w:r>
    </w:p>
    <w:p w14:paraId="31762C5C" w14:textId="77777777" w:rsidR="00F11848" w:rsidRDefault="00F11848" w:rsidP="00F11848">
      <w:r>
        <w:t xml:space="preserve">FAO. (2023). Foreign Direct Investment Flows to Agriculture (2013–2022). FAOSTAT Data Release.  </w:t>
      </w:r>
    </w:p>
    <w:p w14:paraId="24437668" w14:textId="5677153A" w:rsidR="00F11848" w:rsidRPr="00F11848" w:rsidRDefault="00F11848" w:rsidP="00F11848">
      <w:pPr>
        <w:rPr>
          <w:b/>
          <w:bCs/>
        </w:rPr>
      </w:pPr>
      <w:r w:rsidRPr="00F11848">
        <w:rPr>
          <w:b/>
          <w:bCs/>
        </w:rPr>
        <w:t xml:space="preserve">5. A Systematic Mapping Review of Foreign Direct Investment by Multinational Corporations in Emerging Economies  </w:t>
      </w:r>
    </w:p>
    <w:p w14:paraId="1AB3FA40" w14:textId="7EDDF322" w:rsidR="00F11848" w:rsidRDefault="00F11848" w:rsidP="00F11848">
      <w:r>
        <w:t xml:space="preserve">This bibliometric study reviews 1,386 articles (1987–2023) on FDI and MNCs in emerging economies, including agriculture-related investments. It identifies subthemes like FDI’s impact on economic development, institutional factors, and the internationalization of emerging economy MNCs. Agriculture is noted as a sector where FDI drives productivity but faces challenges like land rights disputes.  </w:t>
      </w:r>
    </w:p>
    <w:p w14:paraId="059418D5" w14:textId="23C54927" w:rsidR="00F11848" w:rsidRDefault="00F11848" w:rsidP="00F11848">
      <w:r>
        <w:t xml:space="preserve">MNC-led FDI in agriculture supports economic growth but requires institutional reforms to address negative externalities like land grabs. The study calls for rethinking traditional FDI theories to account for emerging economy dynamics.  </w:t>
      </w:r>
    </w:p>
    <w:p w14:paraId="3ACCEA99" w14:textId="28BAFF42" w:rsidR="00F11848" w:rsidRDefault="00F11848" w:rsidP="00F11848">
      <w:r w:rsidRPr="00F11848">
        <w:t>Nazzal, A., Niñerola, A.M., Sánchez-Rebull, MV. </w:t>
      </w:r>
      <w:r w:rsidRPr="00F11848">
        <w:rPr>
          <w:i/>
          <w:iCs/>
        </w:rPr>
        <w:t>et al.</w:t>
      </w:r>
      <w:r w:rsidRPr="00F11848">
        <w:t> A systematic mapping review of foreign direct investment by multinational corporations in emerging economies. </w:t>
      </w:r>
      <w:r w:rsidRPr="00F11848">
        <w:rPr>
          <w:i/>
          <w:iCs/>
        </w:rPr>
        <w:t>Humanit Soc Sci Commun</w:t>
      </w:r>
      <w:r w:rsidRPr="00F11848">
        <w:t> </w:t>
      </w:r>
      <w:r w:rsidRPr="00F11848">
        <w:rPr>
          <w:b/>
          <w:bCs/>
        </w:rPr>
        <w:t>12</w:t>
      </w:r>
      <w:r w:rsidRPr="00F11848">
        <w:t xml:space="preserve">, 266 (2025). </w:t>
      </w:r>
      <w:hyperlink r:id="rId5" w:history="1">
        <w:r w:rsidRPr="00F8031E">
          <w:rPr>
            <w:rStyle w:val="Hyperlink"/>
          </w:rPr>
          <w:t>https://doi.org/10.1057/s41599-025-04571-y</w:t>
        </w:r>
      </w:hyperlink>
      <w:r>
        <w:t xml:space="preserve"> </w:t>
      </w:r>
    </w:p>
    <w:p w14:paraId="5776AF10" w14:textId="34D98EE8" w:rsidR="00412C9B" w:rsidRDefault="00412C9B" w:rsidP="00F11848"/>
    <w:p w14:paraId="2F3059BD" w14:textId="77777777" w:rsidR="00553EBB" w:rsidRDefault="00553EBB" w:rsidP="00F11848"/>
    <w:p w14:paraId="16038D7C" w14:textId="77777777" w:rsidR="00553EBB" w:rsidRPr="00553EBB" w:rsidRDefault="00553EBB" w:rsidP="00553EBB">
      <w:pPr>
        <w:numPr>
          <w:ilvl w:val="0"/>
          <w:numId w:val="4"/>
        </w:numPr>
      </w:pPr>
      <w:r w:rsidRPr="00553EBB">
        <w:rPr>
          <w:b/>
          <w:bCs/>
        </w:rPr>
        <w:lastRenderedPageBreak/>
        <w:t xml:space="preserve">Glover, D., &amp; Kusterer, K. (2016). </w:t>
      </w:r>
      <w:r w:rsidRPr="00553EBB">
        <w:rPr>
          <w:b/>
          <w:bCs/>
          <w:i/>
          <w:iCs/>
        </w:rPr>
        <w:t>Small Farmers, Big Business: Contract Farming and Rural Development</w:t>
      </w:r>
      <w:r w:rsidRPr="00553EBB">
        <w:rPr>
          <w:b/>
          <w:bCs/>
        </w:rPr>
        <w:t>. Palgrave Macmillan.</w:t>
      </w:r>
      <w:r w:rsidRPr="00553EBB">
        <w:br/>
      </w:r>
      <w:r w:rsidRPr="00553EBB">
        <w:rPr>
          <w:b/>
          <w:bCs/>
        </w:rPr>
        <w:t>Methodology:</w:t>
      </w:r>
      <w:r w:rsidRPr="00553EBB">
        <w:t xml:space="preserve"> Employs comparative case studies from multiple developing countries, using interviews, economic data analysis, and field observations.</w:t>
      </w:r>
      <w:r w:rsidRPr="00553EBB">
        <w:br/>
      </w:r>
      <w:r w:rsidRPr="00553EBB">
        <w:rPr>
          <w:b/>
          <w:bCs/>
        </w:rPr>
        <w:t>Key Findings:</w:t>
      </w:r>
      <w:r w:rsidRPr="00553EBB">
        <w:t xml:space="preserve"> MNC-led contract farming arrangements can increase smallholder access to technology, credit, and markets, but also risk increasing dependency, reducing bargaining power, and sometimes exacerbating inequality. FDI in agri-food chains is most beneficial when local institutions protect farmer interests.</w:t>
      </w:r>
      <w:r w:rsidRPr="00553EBB">
        <w:br/>
      </w:r>
      <w:r w:rsidRPr="00553EBB">
        <w:rPr>
          <w:b/>
          <w:bCs/>
        </w:rPr>
        <w:t>Description:</w:t>
      </w:r>
      <w:r w:rsidRPr="00553EBB">
        <w:t xml:space="preserve"> Deep analysis of MNC-driven contract farming, tracing investment flows (FDI) and impacts on smallholders.</w:t>
      </w:r>
    </w:p>
    <w:p w14:paraId="2157936F" w14:textId="77777777" w:rsidR="00553EBB" w:rsidRPr="00553EBB" w:rsidRDefault="00553EBB" w:rsidP="00553EBB">
      <w:pPr>
        <w:numPr>
          <w:ilvl w:val="0"/>
          <w:numId w:val="4"/>
        </w:numPr>
      </w:pPr>
      <w:r w:rsidRPr="00553EBB">
        <w:rPr>
          <w:b/>
          <w:bCs/>
        </w:rPr>
        <w:t xml:space="preserve">Meyer, K. E., &amp; Sinani, E. (2009). When and Where Does Foreign Direct Investment Generate Positive Spillovers? A Meta-Analysis. </w:t>
      </w:r>
      <w:r w:rsidRPr="00553EBB">
        <w:rPr>
          <w:b/>
          <w:bCs/>
          <w:i/>
          <w:iCs/>
        </w:rPr>
        <w:t>Journal of International Business Studies, 40</w:t>
      </w:r>
      <w:r w:rsidRPr="00553EBB">
        <w:rPr>
          <w:b/>
          <w:bCs/>
        </w:rPr>
        <w:t>(7), 1075–1094.</w:t>
      </w:r>
      <w:r w:rsidRPr="00553EBB">
        <w:br/>
      </w:r>
      <w:r w:rsidRPr="00553EBB">
        <w:rPr>
          <w:b/>
          <w:bCs/>
        </w:rPr>
        <w:t>Methodology:</w:t>
      </w:r>
      <w:r w:rsidRPr="00553EBB">
        <w:t xml:space="preserve"> Meta-analysis of 57 empirical studies across sectors including agriculture, using statistical aggregation techniques.</w:t>
      </w:r>
      <w:r w:rsidRPr="00553EBB">
        <w:br/>
      </w:r>
      <w:r w:rsidRPr="00553EBB">
        <w:rPr>
          <w:b/>
          <w:bCs/>
        </w:rPr>
        <w:t>Key Findings:</w:t>
      </w:r>
      <w:r w:rsidRPr="00553EBB">
        <w:t xml:space="preserve"> FDI can yield technology and productivity spillovers for local firms, with effects amplified by a developed local business environment. In agricultural contexts, benefits depend on policy frameworks and absorptive capacities.</w:t>
      </w:r>
      <w:r w:rsidRPr="00553EBB">
        <w:br/>
      </w:r>
      <w:r w:rsidRPr="00553EBB">
        <w:rPr>
          <w:b/>
          <w:bCs/>
        </w:rPr>
        <w:t>Description:</w:t>
      </w:r>
      <w:r w:rsidRPr="00553EBB">
        <w:t xml:space="preserve"> Synthesizes global evidence on FDI spillovers, highlighting variable outcomes across regions and sectors.</w:t>
      </w:r>
    </w:p>
    <w:p w14:paraId="37BFC472" w14:textId="77777777" w:rsidR="00553EBB" w:rsidRPr="00553EBB" w:rsidRDefault="00553EBB" w:rsidP="00553EBB">
      <w:pPr>
        <w:numPr>
          <w:ilvl w:val="0"/>
          <w:numId w:val="4"/>
        </w:numPr>
      </w:pPr>
      <w:r w:rsidRPr="00553EBB">
        <w:rPr>
          <w:b/>
          <w:bCs/>
        </w:rPr>
        <w:t xml:space="preserve">Deininger, K., &amp; Byerlee, D. (2011). Rising Global Interest in Farmland: Can It Yield Sustainable and Equitable Benefits? </w:t>
      </w:r>
      <w:r w:rsidRPr="00553EBB">
        <w:rPr>
          <w:b/>
          <w:bCs/>
          <w:i/>
          <w:iCs/>
        </w:rPr>
        <w:t>World Bank Publications</w:t>
      </w:r>
      <w:r w:rsidRPr="00553EBB">
        <w:rPr>
          <w:b/>
          <w:bCs/>
        </w:rPr>
        <w:t>.</w:t>
      </w:r>
      <w:r w:rsidRPr="00553EBB">
        <w:br/>
      </w:r>
      <w:r w:rsidRPr="00553EBB">
        <w:rPr>
          <w:b/>
          <w:bCs/>
        </w:rPr>
        <w:t>Methodology:</w:t>
      </w:r>
      <w:r w:rsidRPr="00553EBB">
        <w:t xml:space="preserve"> Policy analysis with global datasets, national case studies, and stakeholder interviews.</w:t>
      </w:r>
      <w:r w:rsidRPr="00553EBB">
        <w:br/>
      </w:r>
      <w:r w:rsidRPr="00553EBB">
        <w:rPr>
          <w:b/>
          <w:bCs/>
        </w:rPr>
        <w:t>Key Findings:</w:t>
      </w:r>
      <w:r w:rsidRPr="00553EBB">
        <w:t xml:space="preserve"> Surging FDI in farmland driven by food security, biofuel, and investment motives. Benefits (jobs, technology) often limited by weak regulation; risks include land rights conflicts and displacement.</w:t>
      </w:r>
      <w:r w:rsidRPr="00553EBB">
        <w:br/>
      </w:r>
      <w:r w:rsidRPr="00553EBB">
        <w:rPr>
          <w:b/>
          <w:bCs/>
        </w:rPr>
        <w:t>Description:</w:t>
      </w:r>
      <w:r w:rsidRPr="00553EBB">
        <w:t xml:space="preserve"> Explores MNC investment strategies, institutional responses, and development outcomes.</w:t>
      </w:r>
    </w:p>
    <w:p w14:paraId="52E008F4" w14:textId="77777777" w:rsidR="00553EBB" w:rsidRPr="00553EBB" w:rsidRDefault="00553EBB" w:rsidP="00553EBB">
      <w:pPr>
        <w:numPr>
          <w:ilvl w:val="0"/>
          <w:numId w:val="4"/>
        </w:numPr>
      </w:pPr>
      <w:r w:rsidRPr="00553EBB">
        <w:rPr>
          <w:b/>
          <w:bCs/>
        </w:rPr>
        <w:t xml:space="preserve">Anseeuw, W., Lay, J., Messerli, P., Cotula, L., &amp; Taylor, M. (2013). Creating a public tool to assess and promote transparency in global land deals: The experience of the Land Matrix. </w:t>
      </w:r>
      <w:r w:rsidRPr="00553EBB">
        <w:rPr>
          <w:b/>
          <w:bCs/>
          <w:i/>
          <w:iCs/>
        </w:rPr>
        <w:t>The Journal of Peasant Studies, 40</w:t>
      </w:r>
      <w:r w:rsidRPr="00553EBB">
        <w:rPr>
          <w:b/>
          <w:bCs/>
        </w:rPr>
        <w:t>(3), 521-530.</w:t>
      </w:r>
      <w:r w:rsidRPr="00553EBB">
        <w:br/>
      </w:r>
      <w:r w:rsidRPr="00553EBB">
        <w:rPr>
          <w:b/>
          <w:bCs/>
        </w:rPr>
        <w:t>Methodology:</w:t>
      </w:r>
      <w:r w:rsidRPr="00553EBB">
        <w:t xml:space="preserve"> Creation and analysis of a multi-source open-access land deals database.</w:t>
      </w:r>
      <w:r w:rsidRPr="00553EBB">
        <w:br/>
      </w:r>
      <w:r w:rsidRPr="00553EBB">
        <w:rPr>
          <w:b/>
          <w:bCs/>
        </w:rPr>
        <w:t>Key Findings:</w:t>
      </w:r>
      <w:r w:rsidRPr="00553EBB">
        <w:t xml:space="preserve"> Many transnational land deals linked to FDI from MNCs, often lacking transparency and public oversight. The Land Matrix enhances accountability and </w:t>
      </w:r>
      <w:r w:rsidRPr="00553EBB">
        <w:lastRenderedPageBreak/>
        <w:t>provides empirical evidence on trends and actors.</w:t>
      </w:r>
      <w:r w:rsidRPr="00553EBB">
        <w:br/>
      </w:r>
      <w:r w:rsidRPr="00553EBB">
        <w:rPr>
          <w:b/>
          <w:bCs/>
        </w:rPr>
        <w:t>Description:</w:t>
      </w:r>
      <w:r w:rsidRPr="00553EBB">
        <w:t xml:space="preserve"> Reviews the scale, country distribution, and transparency challenges of MNC-driven land and agricultural FDI.</w:t>
      </w:r>
    </w:p>
    <w:p w14:paraId="77C453AD" w14:textId="77777777" w:rsidR="00553EBB" w:rsidRPr="00553EBB" w:rsidRDefault="00553EBB" w:rsidP="00553EBB">
      <w:pPr>
        <w:numPr>
          <w:ilvl w:val="0"/>
          <w:numId w:val="4"/>
        </w:numPr>
      </w:pPr>
      <w:r w:rsidRPr="00553EBB">
        <w:rPr>
          <w:b/>
          <w:bCs/>
        </w:rPr>
        <w:t xml:space="preserve">Prowse, M. (2012). Contract Farming in Developing Countries – A Review. </w:t>
      </w:r>
      <w:r w:rsidRPr="00553EBB">
        <w:rPr>
          <w:b/>
          <w:bCs/>
          <w:i/>
          <w:iCs/>
        </w:rPr>
        <w:t>Agrekon, 51</w:t>
      </w:r>
      <w:r w:rsidRPr="00553EBB">
        <w:rPr>
          <w:b/>
          <w:bCs/>
        </w:rPr>
        <w:t>(2), 40-63.</w:t>
      </w:r>
      <w:r w:rsidRPr="00553EBB">
        <w:br/>
      </w:r>
      <w:r w:rsidRPr="00553EBB">
        <w:rPr>
          <w:b/>
          <w:bCs/>
        </w:rPr>
        <w:t>Methodology:</w:t>
      </w:r>
      <w:r w:rsidRPr="00553EBB">
        <w:t xml:space="preserve"> Systematic literature review and policy document analysis.</w:t>
      </w:r>
      <w:r w:rsidRPr="00553EBB">
        <w:br/>
      </w:r>
      <w:r w:rsidRPr="00553EBB">
        <w:rPr>
          <w:b/>
          <w:bCs/>
        </w:rPr>
        <w:t>Key Findings:</w:t>
      </w:r>
      <w:r w:rsidRPr="00553EBB">
        <w:t xml:space="preserve"> Contract farming, often led by MNCs investing via FDI, can improve smallholder income but demands strong policy safeguards. Risks include exclusion, institutional weaknesses, and power imbalances.</w:t>
      </w:r>
      <w:r w:rsidRPr="00553EBB">
        <w:br/>
      </w:r>
      <w:r w:rsidRPr="00553EBB">
        <w:rPr>
          <w:b/>
          <w:bCs/>
        </w:rPr>
        <w:t>Description:</w:t>
      </w:r>
      <w:r w:rsidRPr="00553EBB">
        <w:t xml:space="preserve"> Analyzes FDI and MNC motivations and implications for agricultural value chains and contract farming.</w:t>
      </w:r>
    </w:p>
    <w:p w14:paraId="41CB0849" w14:textId="77777777" w:rsidR="00553EBB" w:rsidRPr="00553EBB" w:rsidRDefault="00553EBB" w:rsidP="00553EBB">
      <w:pPr>
        <w:numPr>
          <w:ilvl w:val="0"/>
          <w:numId w:val="4"/>
        </w:numPr>
      </w:pPr>
      <w:r w:rsidRPr="00553EBB">
        <w:rPr>
          <w:b/>
          <w:bCs/>
        </w:rPr>
        <w:t xml:space="preserve">Hallam, D. (2011). International investments in agricultural production. </w:t>
      </w:r>
      <w:r w:rsidRPr="00553EBB">
        <w:rPr>
          <w:b/>
          <w:bCs/>
          <w:i/>
          <w:iCs/>
        </w:rPr>
        <w:t>International Journal of Agricultural Resources, Governance and Ecology, 9</w:t>
      </w:r>
      <w:r w:rsidRPr="00553EBB">
        <w:rPr>
          <w:b/>
          <w:bCs/>
        </w:rPr>
        <w:t>(1/2), 122-133.</w:t>
      </w:r>
      <w:r w:rsidRPr="00553EBB">
        <w:br/>
      </w:r>
      <w:r w:rsidRPr="00553EBB">
        <w:rPr>
          <w:b/>
          <w:bCs/>
        </w:rPr>
        <w:t>Methodology:</w:t>
      </w:r>
      <w:r w:rsidRPr="00553EBB">
        <w:t xml:space="preserve"> Sectoral data synthesis and comparative assessment of investment patterns.</w:t>
      </w:r>
      <w:r w:rsidRPr="00553EBB">
        <w:br/>
      </w:r>
      <w:r w:rsidRPr="00553EBB">
        <w:rPr>
          <w:b/>
          <w:bCs/>
        </w:rPr>
        <w:t>Key Findings:</w:t>
      </w:r>
      <w:r w:rsidRPr="00553EBB">
        <w:t xml:space="preserve"> Describes drivers of international agricultural investment, highlighting the evolving role of MNCs and new forms of FDI such as public-private partnerships.</w:t>
      </w:r>
      <w:r w:rsidRPr="00553EBB">
        <w:br/>
      </w:r>
      <w:r w:rsidRPr="00553EBB">
        <w:rPr>
          <w:b/>
          <w:bCs/>
        </w:rPr>
        <w:t>Description:</w:t>
      </w:r>
      <w:r w:rsidRPr="00553EBB">
        <w:t xml:space="preserve"> Comprehensive overview of agricultural FDI projects and their policy implications globally.</w:t>
      </w:r>
    </w:p>
    <w:p w14:paraId="2509BCDA" w14:textId="77777777" w:rsidR="00553EBB" w:rsidRPr="00553EBB" w:rsidRDefault="00553EBB" w:rsidP="00553EBB">
      <w:pPr>
        <w:numPr>
          <w:ilvl w:val="0"/>
          <w:numId w:val="4"/>
        </w:numPr>
      </w:pPr>
      <w:r w:rsidRPr="00553EBB">
        <w:rPr>
          <w:b/>
          <w:bCs/>
        </w:rPr>
        <w:t>UNCTAD (2020). World Investment Report 2020: International Production Beyond the Pandemic.</w:t>
      </w:r>
      <w:r w:rsidRPr="00553EBB">
        <w:t xml:space="preserve"> </w:t>
      </w:r>
      <w:r w:rsidRPr="00553EBB">
        <w:rPr>
          <w:i/>
          <w:iCs/>
        </w:rPr>
        <w:t>United Nations Conference on Trade and Development.</w:t>
      </w:r>
      <w:r w:rsidRPr="00553EBB">
        <w:br/>
      </w:r>
      <w:r w:rsidRPr="00553EBB">
        <w:rPr>
          <w:b/>
          <w:bCs/>
        </w:rPr>
        <w:t>Methodology:</w:t>
      </w:r>
      <w:r w:rsidRPr="00553EBB">
        <w:t xml:space="preserve"> Analysis of FDI flows using global databases, sector focus sections on agri-food industries, and policy discussion.</w:t>
      </w:r>
      <w:r w:rsidRPr="00553EBB">
        <w:br/>
      </w:r>
      <w:r w:rsidRPr="00553EBB">
        <w:rPr>
          <w:b/>
          <w:bCs/>
        </w:rPr>
        <w:t>Key Findings:</w:t>
      </w:r>
      <w:r w:rsidRPr="00553EBB">
        <w:t xml:space="preserve"> FDI in agriculture showed resilience but suffered sectoral shifts due to COVID-19; MNCs in food processing and commodities adapted by digitalization and regional diversification. Policy recommendations emphasize sustainable investment and local linkages.</w:t>
      </w:r>
      <w:r w:rsidRPr="00553EBB">
        <w:br/>
      </w:r>
      <w:r w:rsidRPr="00553EBB">
        <w:rPr>
          <w:b/>
          <w:bCs/>
        </w:rPr>
        <w:t>Description:</w:t>
      </w:r>
      <w:r w:rsidRPr="00553EBB">
        <w:t xml:space="preserve"> Essential annual reference for recent global FDI trends in agriculture and food industries.</w:t>
      </w:r>
      <w:r w:rsidRPr="00553EBB">
        <w:br/>
      </w:r>
      <w:hyperlink r:id="rId6" w:tgtFrame="_blank" w:history="1">
        <w:r w:rsidRPr="00553EBB">
          <w:rPr>
            <w:rStyle w:val="Hyperlink"/>
          </w:rPr>
          <w:t>Full text</w:t>
        </w:r>
      </w:hyperlink>
    </w:p>
    <w:p w14:paraId="019EB2FE" w14:textId="77777777" w:rsidR="00553EBB" w:rsidRPr="00553EBB" w:rsidRDefault="00553EBB" w:rsidP="00553EBB">
      <w:pPr>
        <w:numPr>
          <w:ilvl w:val="0"/>
          <w:numId w:val="4"/>
        </w:numPr>
      </w:pPr>
      <w:r w:rsidRPr="00553EBB">
        <w:rPr>
          <w:b/>
          <w:bCs/>
        </w:rPr>
        <w:t xml:space="preserve">Swinnen, J. F. M., &amp; Maertens, M. (2007). Globalization, privatization, and vertical coordination in food value chains in developing and transition countries. </w:t>
      </w:r>
      <w:r w:rsidRPr="00553EBB">
        <w:rPr>
          <w:b/>
          <w:bCs/>
          <w:i/>
          <w:iCs/>
        </w:rPr>
        <w:t>Agricultural Economics, 37</w:t>
      </w:r>
      <w:r w:rsidRPr="00553EBB">
        <w:rPr>
          <w:b/>
          <w:bCs/>
        </w:rPr>
        <w:t>(s1), 89-102.</w:t>
      </w:r>
      <w:r w:rsidRPr="00553EBB">
        <w:br/>
      </w:r>
      <w:r w:rsidRPr="00553EBB">
        <w:rPr>
          <w:b/>
          <w:bCs/>
        </w:rPr>
        <w:t>Methodology:</w:t>
      </w:r>
      <w:r w:rsidRPr="00553EBB">
        <w:t xml:space="preserve"> Economic modeling and sector case studies centered on agribusiness FDI.</w:t>
      </w:r>
      <w:r w:rsidRPr="00553EBB">
        <w:br/>
      </w:r>
      <w:r w:rsidRPr="00553EBB">
        <w:rPr>
          <w:b/>
          <w:bCs/>
        </w:rPr>
        <w:lastRenderedPageBreak/>
        <w:t>Key Findings:</w:t>
      </w:r>
      <w:r w:rsidRPr="00553EBB">
        <w:t xml:space="preserve"> MNC-led FDI fosters global value chain integration in agriculture, introducing new standards, technology, and contract mechanisms. Impacts depend on market and institutional contexts.</w:t>
      </w:r>
      <w:r w:rsidRPr="00553EBB">
        <w:br/>
      </w:r>
      <w:r w:rsidRPr="00553EBB">
        <w:rPr>
          <w:b/>
          <w:bCs/>
        </w:rPr>
        <w:t>Description:</w:t>
      </w:r>
      <w:r w:rsidRPr="00553EBB">
        <w:t xml:space="preserve"> Provides theoretical and empirical insight into FDI impacts on developing world agriculture value chains.</w:t>
      </w:r>
    </w:p>
    <w:p w14:paraId="40456BCD" w14:textId="77777777" w:rsidR="00553EBB" w:rsidRPr="00553EBB" w:rsidRDefault="00553EBB" w:rsidP="00553EBB">
      <w:pPr>
        <w:numPr>
          <w:ilvl w:val="0"/>
          <w:numId w:val="5"/>
        </w:numPr>
      </w:pPr>
      <w:r w:rsidRPr="00553EBB">
        <w:rPr>
          <w:b/>
          <w:bCs/>
        </w:rPr>
        <w:t xml:space="preserve">Clapp, J. (2016). DFIs and Agribusiness: Development Finance or Corporate Capture? </w:t>
      </w:r>
      <w:r w:rsidRPr="00553EBB">
        <w:rPr>
          <w:b/>
          <w:bCs/>
          <w:i/>
          <w:iCs/>
        </w:rPr>
        <w:t>Canadian Food Studies, 3</w:t>
      </w:r>
      <w:r w:rsidRPr="00553EBB">
        <w:rPr>
          <w:b/>
          <w:bCs/>
        </w:rPr>
        <w:t>(2), 162–168.</w:t>
      </w:r>
      <w:r w:rsidRPr="00553EBB">
        <w:br/>
      </w:r>
      <w:r w:rsidRPr="00553EBB">
        <w:rPr>
          <w:b/>
          <w:bCs/>
        </w:rPr>
        <w:t>Methodology:</w:t>
      </w:r>
      <w:r w:rsidRPr="00553EBB">
        <w:t xml:space="preserve"> Policy and organizational analysis of development finance institution (DFI) investments in agriculture, with select MNC project profiles.</w:t>
      </w:r>
      <w:r w:rsidRPr="00553EBB">
        <w:br/>
      </w:r>
      <w:r w:rsidRPr="00553EBB">
        <w:rPr>
          <w:b/>
          <w:bCs/>
        </w:rPr>
        <w:t>Key Findings:</w:t>
      </w:r>
      <w:r w:rsidRPr="00553EBB">
        <w:t xml:space="preserve"> Finds strong evidence that DFIs are physically and financially catalyzing MNC FDI into the agriculture sector, sometimes at the expense of local food security and farmer interests.</w:t>
      </w:r>
      <w:r w:rsidRPr="00553EBB">
        <w:br/>
      </w:r>
      <w:r w:rsidRPr="00553EBB">
        <w:rPr>
          <w:b/>
          <w:bCs/>
        </w:rPr>
        <w:t>Description:</w:t>
      </w:r>
      <w:r w:rsidRPr="00553EBB">
        <w:t xml:space="preserve"> Argues for closer regulatory oversight to align development objectives with private FDI strategies.</w:t>
      </w:r>
    </w:p>
    <w:p w14:paraId="424573C9" w14:textId="77777777" w:rsidR="00553EBB" w:rsidRPr="00553EBB" w:rsidRDefault="00553EBB" w:rsidP="00553EBB">
      <w:pPr>
        <w:numPr>
          <w:ilvl w:val="0"/>
          <w:numId w:val="5"/>
        </w:numPr>
      </w:pPr>
      <w:r w:rsidRPr="00553EBB">
        <w:rPr>
          <w:b/>
          <w:bCs/>
        </w:rPr>
        <w:t xml:space="preserve">Ghose, B. (2014). Food Security, FDI, and Multinational Corporations in Sub-Saharan Africa. </w:t>
      </w:r>
      <w:r w:rsidRPr="00553EBB">
        <w:rPr>
          <w:b/>
          <w:bCs/>
          <w:i/>
          <w:iCs/>
        </w:rPr>
        <w:t>Journal of African Business, 15</w:t>
      </w:r>
      <w:r w:rsidRPr="00553EBB">
        <w:rPr>
          <w:b/>
          <w:bCs/>
        </w:rPr>
        <w:t>(3), 170-182.</w:t>
      </w:r>
      <w:r w:rsidRPr="00553EBB">
        <w:br/>
      </w:r>
      <w:r w:rsidRPr="00553EBB">
        <w:rPr>
          <w:b/>
          <w:bCs/>
        </w:rPr>
        <w:t>Methodology:</w:t>
      </w:r>
      <w:r w:rsidRPr="00553EBB">
        <w:t xml:space="preserve"> Analysis of policy outcomes and sectoral case studies in SSA countries intersecting food security and agri-food FDI statistics from 2000-2012.</w:t>
      </w:r>
      <w:r w:rsidRPr="00553EBB">
        <w:br/>
      </w:r>
      <w:r w:rsidRPr="00553EBB">
        <w:rPr>
          <w:b/>
          <w:bCs/>
        </w:rPr>
        <w:t>Key Findings:</w:t>
      </w:r>
      <w:r w:rsidRPr="00553EBB">
        <w:t xml:space="preserve"> Demonstrates that FDI by MNCs is associated with improved productivity and food system modernization when governance is strong, but may compromise smallholder land access without inclusive policies.</w:t>
      </w:r>
      <w:r w:rsidRPr="00553EBB">
        <w:br/>
      </w:r>
      <w:r w:rsidRPr="00553EBB">
        <w:rPr>
          <w:b/>
          <w:bCs/>
        </w:rPr>
        <w:t>Description:</w:t>
      </w:r>
      <w:r w:rsidRPr="00553EBB">
        <w:t xml:space="preserve"> Explores how and why FDI’s impact on food security varies across African regions.</w:t>
      </w:r>
    </w:p>
    <w:p w14:paraId="7D77C2ED" w14:textId="77777777" w:rsidR="00553EBB" w:rsidRPr="00553EBB" w:rsidRDefault="00553EBB" w:rsidP="00553EBB">
      <w:pPr>
        <w:numPr>
          <w:ilvl w:val="0"/>
          <w:numId w:val="5"/>
        </w:numPr>
      </w:pPr>
      <w:r w:rsidRPr="00553EBB">
        <w:rPr>
          <w:b/>
          <w:bCs/>
        </w:rPr>
        <w:t xml:space="preserve">Qaim, M. (2013). Corporate Supply Chains and Food Security: The Case of Transnational Agribusiness. </w:t>
      </w:r>
      <w:r w:rsidRPr="00553EBB">
        <w:rPr>
          <w:b/>
          <w:bCs/>
          <w:i/>
          <w:iCs/>
        </w:rPr>
        <w:t>Food Policy, 43</w:t>
      </w:r>
      <w:r w:rsidRPr="00553EBB">
        <w:rPr>
          <w:b/>
          <w:bCs/>
        </w:rPr>
        <w:t>, 125–134.</w:t>
      </w:r>
      <w:r w:rsidRPr="00553EBB">
        <w:br/>
      </w:r>
      <w:r w:rsidRPr="00553EBB">
        <w:rPr>
          <w:b/>
          <w:bCs/>
        </w:rPr>
        <w:t>Methodology:</w:t>
      </w:r>
      <w:r w:rsidRPr="00553EBB">
        <w:t xml:space="preserve"> Conceptual framework with empirical examples from Asia, Africa, and Latin America.</w:t>
      </w:r>
      <w:r w:rsidRPr="00553EBB">
        <w:br/>
      </w:r>
      <w:r w:rsidRPr="00553EBB">
        <w:rPr>
          <w:b/>
          <w:bCs/>
        </w:rPr>
        <w:t>Key Findings:</w:t>
      </w:r>
      <w:r w:rsidRPr="00553EBB">
        <w:t xml:space="preserve"> Integration into MNC-controlled global supply chains typically raises farmer productivity and income, but these benefits are uneven and can erode community resilience if local input/output markets are excluded.</w:t>
      </w:r>
      <w:r w:rsidRPr="00553EBB">
        <w:br/>
      </w:r>
      <w:r w:rsidRPr="00553EBB">
        <w:rPr>
          <w:b/>
          <w:bCs/>
        </w:rPr>
        <w:t>Description:</w:t>
      </w:r>
      <w:r w:rsidRPr="00553EBB">
        <w:t xml:space="preserve"> Critically assesses pros and cons of MNC-controlled supply chains for agricultural development and food security.</w:t>
      </w:r>
    </w:p>
    <w:p w14:paraId="767E074A" w14:textId="77777777" w:rsidR="00553EBB" w:rsidRPr="00553EBB" w:rsidRDefault="00553EBB" w:rsidP="00553EBB">
      <w:pPr>
        <w:numPr>
          <w:ilvl w:val="0"/>
          <w:numId w:val="5"/>
        </w:numPr>
      </w:pPr>
      <w:r w:rsidRPr="00553EBB">
        <w:rPr>
          <w:b/>
          <w:bCs/>
        </w:rPr>
        <w:t xml:space="preserve">Margulis, M. E. (2014). Land Grabbing and Global Governance: Critical Perspectives. </w:t>
      </w:r>
      <w:r w:rsidRPr="00553EBB">
        <w:rPr>
          <w:b/>
          <w:bCs/>
          <w:i/>
          <w:iCs/>
        </w:rPr>
        <w:t>Globalizations, 11</w:t>
      </w:r>
      <w:r w:rsidRPr="00553EBB">
        <w:rPr>
          <w:b/>
          <w:bCs/>
        </w:rPr>
        <w:t>(2), 161-186.</w:t>
      </w:r>
      <w:r w:rsidRPr="00553EBB">
        <w:br/>
      </w:r>
      <w:r w:rsidRPr="00553EBB">
        <w:rPr>
          <w:b/>
          <w:bCs/>
        </w:rPr>
        <w:t>Methodology:</w:t>
      </w:r>
      <w:r w:rsidRPr="00553EBB">
        <w:t xml:space="preserve"> Theoretical analysis using case studies from Africa and Southeast Asia.</w:t>
      </w:r>
      <w:r w:rsidRPr="00553EBB">
        <w:br/>
      </w:r>
      <w:r w:rsidRPr="00553EBB">
        <w:rPr>
          <w:b/>
          <w:bCs/>
        </w:rPr>
        <w:lastRenderedPageBreak/>
        <w:t>Key Findings:</w:t>
      </w:r>
      <w:r w:rsidRPr="00553EBB">
        <w:t xml:space="preserve"> Multinational FDI in large-scale land deals can limit national regulatory autonomy. Advocates for global governance improvements and social movement participation to mitigate negative effects.</w:t>
      </w:r>
      <w:r w:rsidRPr="00553EBB">
        <w:br/>
      </w:r>
      <w:r w:rsidRPr="00553EBB">
        <w:rPr>
          <w:b/>
          <w:bCs/>
        </w:rPr>
        <w:t>Description:</w:t>
      </w:r>
      <w:r w:rsidRPr="00553EBB">
        <w:t xml:space="preserve"> Examines governance challenges related to transnational land grabs driven by agricultural FDI.</w:t>
      </w:r>
    </w:p>
    <w:p w14:paraId="5BEA9233" w14:textId="77777777" w:rsidR="00553EBB" w:rsidRPr="00553EBB" w:rsidRDefault="00553EBB" w:rsidP="00553EBB">
      <w:pPr>
        <w:numPr>
          <w:ilvl w:val="0"/>
          <w:numId w:val="5"/>
        </w:numPr>
      </w:pPr>
      <w:r w:rsidRPr="00553EBB">
        <w:rPr>
          <w:b/>
          <w:bCs/>
        </w:rPr>
        <w:t xml:space="preserve">Mundial, B. (2016). Foreign Direct Investment in Agriculture in Sub-Saharan Africa: Trends, Determinants and Impacts. </w:t>
      </w:r>
      <w:r w:rsidRPr="00553EBB">
        <w:rPr>
          <w:b/>
          <w:bCs/>
          <w:i/>
          <w:iCs/>
        </w:rPr>
        <w:t>World Bank Group Report</w:t>
      </w:r>
      <w:r w:rsidRPr="00553EBB">
        <w:rPr>
          <w:b/>
          <w:bCs/>
        </w:rPr>
        <w:t>.</w:t>
      </w:r>
      <w:r w:rsidRPr="00553EBB">
        <w:br/>
      </w:r>
      <w:r w:rsidRPr="00553EBB">
        <w:rPr>
          <w:b/>
          <w:bCs/>
        </w:rPr>
        <w:t>Methodology:</w:t>
      </w:r>
      <w:r w:rsidRPr="00553EBB">
        <w:t xml:space="preserve"> Aggregated sectoral investment and impact data analysis for SSA, including MNC project comparisons.</w:t>
      </w:r>
      <w:r w:rsidRPr="00553EBB">
        <w:br/>
      </w:r>
      <w:r w:rsidRPr="00553EBB">
        <w:rPr>
          <w:b/>
          <w:bCs/>
        </w:rPr>
        <w:t>Key Findings:</w:t>
      </w:r>
      <w:r w:rsidRPr="00553EBB">
        <w:t xml:space="preserve"> MNC-driven FDI is concentrated in export commodities and cash crops, spurring technology adoption, but the broader sector impact is highly variable.</w:t>
      </w:r>
      <w:r w:rsidRPr="00553EBB">
        <w:br/>
      </w:r>
      <w:r w:rsidRPr="00553EBB">
        <w:rPr>
          <w:b/>
          <w:bCs/>
        </w:rPr>
        <w:t>Description:</w:t>
      </w:r>
      <w:r w:rsidRPr="00553EBB">
        <w:t xml:space="preserve"> Offers a systematic review of FDI determinants and sector effects on African agriculture.</w:t>
      </w:r>
    </w:p>
    <w:p w14:paraId="50F79328" w14:textId="77777777" w:rsidR="00553EBB" w:rsidRPr="00553EBB" w:rsidRDefault="00553EBB" w:rsidP="00553EBB">
      <w:pPr>
        <w:numPr>
          <w:ilvl w:val="0"/>
          <w:numId w:val="5"/>
        </w:numPr>
      </w:pPr>
      <w:r w:rsidRPr="00553EBB">
        <w:rPr>
          <w:b/>
          <w:bCs/>
        </w:rPr>
        <w:t xml:space="preserve">Arezki, R., Deininger, K., &amp; Selod, H. (2015). What Drives the Global "Land Rush"? </w:t>
      </w:r>
      <w:r w:rsidRPr="00553EBB">
        <w:rPr>
          <w:b/>
          <w:bCs/>
          <w:i/>
          <w:iCs/>
        </w:rPr>
        <w:t>The World Bank Economic Review, 29</w:t>
      </w:r>
      <w:r w:rsidRPr="00553EBB">
        <w:rPr>
          <w:b/>
          <w:bCs/>
        </w:rPr>
        <w:t>(2), 207-233.</w:t>
      </w:r>
      <w:r w:rsidRPr="00553EBB">
        <w:br/>
      </w:r>
      <w:r w:rsidRPr="00553EBB">
        <w:rPr>
          <w:b/>
          <w:bCs/>
        </w:rPr>
        <w:t>Methodology:</w:t>
      </w:r>
      <w:r w:rsidRPr="00553EBB">
        <w:t xml:space="preserve"> Econometric analysis of cross-country investment data on large-scale land acquisitions by MNCs across 2000-2011.</w:t>
      </w:r>
      <w:r w:rsidRPr="00553EBB">
        <w:br/>
      </w:r>
      <w:r w:rsidRPr="00553EBB">
        <w:rPr>
          <w:b/>
          <w:bCs/>
        </w:rPr>
        <w:t>Key Findings:</w:t>
      </w:r>
      <w:r w:rsidRPr="00553EBB">
        <w:t xml:space="preserve"> Concludes the post-2007 surge in agricultural FDI was driven by commodity price shocks and weak land governance; calls for transparent investment frameworks.</w:t>
      </w:r>
      <w:r w:rsidRPr="00553EBB">
        <w:br/>
      </w:r>
      <w:r w:rsidRPr="00553EBB">
        <w:rPr>
          <w:b/>
          <w:bCs/>
        </w:rPr>
        <w:t>Description:</w:t>
      </w:r>
      <w:r w:rsidRPr="00553EBB">
        <w:t xml:space="preserve"> Provides a rigorous empirical account of FDI "land rush" causes and policy needs.</w:t>
      </w:r>
    </w:p>
    <w:p w14:paraId="44D53D33" w14:textId="77777777" w:rsidR="00553EBB" w:rsidRPr="00553EBB" w:rsidRDefault="00553EBB" w:rsidP="00553EBB">
      <w:pPr>
        <w:numPr>
          <w:ilvl w:val="0"/>
          <w:numId w:val="5"/>
        </w:numPr>
      </w:pPr>
      <w:r w:rsidRPr="00553EBB">
        <w:rPr>
          <w:b/>
          <w:bCs/>
        </w:rPr>
        <w:t xml:space="preserve">Dunning, J. H., &amp; Lundan, S. M. (2008). Multinational Enterprises and the Globalization of FDI in Agri-Food Industries. </w:t>
      </w:r>
      <w:r w:rsidRPr="00553EBB">
        <w:rPr>
          <w:b/>
          <w:bCs/>
          <w:i/>
          <w:iCs/>
        </w:rPr>
        <w:t>Transnational Corporations, 17</w:t>
      </w:r>
      <w:r w:rsidRPr="00553EBB">
        <w:rPr>
          <w:b/>
          <w:bCs/>
        </w:rPr>
        <w:t>(1), 1-41.</w:t>
      </w:r>
      <w:r w:rsidRPr="00553EBB">
        <w:br/>
      </w:r>
      <w:r w:rsidRPr="00553EBB">
        <w:rPr>
          <w:b/>
          <w:bCs/>
        </w:rPr>
        <w:t>Methodology:</w:t>
      </w:r>
      <w:r w:rsidRPr="00553EBB">
        <w:t xml:space="preserve"> Review and synthesis of longitudinal FDI datasets and MNC strategies in agribusiness since 1985.</w:t>
      </w:r>
      <w:r w:rsidRPr="00553EBB">
        <w:br/>
      </w:r>
      <w:r w:rsidRPr="00553EBB">
        <w:rPr>
          <w:b/>
          <w:bCs/>
        </w:rPr>
        <w:t>Key Findings:</w:t>
      </w:r>
      <w:r w:rsidRPr="00553EBB">
        <w:t xml:space="preserve"> FDI in agri-food has shifted from resource-seeking to efficiency and market-seeking, emphasizing retail/value chain integration.</w:t>
      </w:r>
      <w:r w:rsidRPr="00553EBB">
        <w:br/>
      </w:r>
      <w:r w:rsidRPr="00553EBB">
        <w:rPr>
          <w:b/>
          <w:bCs/>
        </w:rPr>
        <w:t>Description:</w:t>
      </w:r>
      <w:r w:rsidRPr="00553EBB">
        <w:t xml:space="preserve"> Charts long-term patterns and strategies of MNCs in global agri-food investments.</w:t>
      </w:r>
    </w:p>
    <w:p w14:paraId="439994EF" w14:textId="77777777" w:rsidR="00553EBB" w:rsidRPr="00553EBB" w:rsidRDefault="00553EBB" w:rsidP="00553EBB">
      <w:pPr>
        <w:numPr>
          <w:ilvl w:val="0"/>
          <w:numId w:val="5"/>
        </w:numPr>
      </w:pPr>
      <w:r w:rsidRPr="00553EBB">
        <w:rPr>
          <w:b/>
          <w:bCs/>
        </w:rPr>
        <w:t xml:space="preserve">Gálvez-Nogales, E. (2010). Agri-food clusters in Latin America: From Export Platforms to Drivers of Local Development. </w:t>
      </w:r>
      <w:r w:rsidRPr="00553EBB">
        <w:rPr>
          <w:b/>
          <w:bCs/>
          <w:i/>
          <w:iCs/>
        </w:rPr>
        <w:t>FAO Regional Office Report</w:t>
      </w:r>
      <w:r w:rsidRPr="00553EBB">
        <w:rPr>
          <w:b/>
          <w:bCs/>
        </w:rPr>
        <w:t>.</w:t>
      </w:r>
      <w:r w:rsidRPr="00553EBB">
        <w:br/>
      </w:r>
      <w:r w:rsidRPr="00553EBB">
        <w:rPr>
          <w:b/>
          <w:bCs/>
        </w:rPr>
        <w:t>Methodology:</w:t>
      </w:r>
      <w:r w:rsidRPr="00553EBB">
        <w:t xml:space="preserve"> Multiple Latin American country case studies, using surveys and firm-level interviews.</w:t>
      </w:r>
      <w:r w:rsidRPr="00553EBB">
        <w:br/>
      </w:r>
      <w:r w:rsidRPr="00553EBB">
        <w:rPr>
          <w:b/>
          <w:bCs/>
        </w:rPr>
        <w:lastRenderedPageBreak/>
        <w:t>Key Findings:</w:t>
      </w:r>
      <w:r w:rsidRPr="00553EBB">
        <w:t xml:space="preserve"> Finds that FDI-powered MNC agri-food clusters generate positive spillovers for local SMEs, but only under supportive regional policy and innovation systems.</w:t>
      </w:r>
      <w:r w:rsidRPr="00553EBB">
        <w:br/>
      </w:r>
      <w:r w:rsidRPr="00553EBB">
        <w:rPr>
          <w:b/>
          <w:bCs/>
        </w:rPr>
        <w:t>Description:</w:t>
      </w:r>
      <w:r w:rsidRPr="00553EBB">
        <w:t xml:space="preserve"> Shows how MNC-led FDI can transform local economies through agri-food clustering.</w:t>
      </w:r>
    </w:p>
    <w:p w14:paraId="75F372A2" w14:textId="77777777" w:rsidR="00553EBB" w:rsidRPr="00553EBB" w:rsidRDefault="00553EBB" w:rsidP="00553EBB">
      <w:pPr>
        <w:numPr>
          <w:ilvl w:val="0"/>
          <w:numId w:val="5"/>
        </w:numPr>
      </w:pPr>
      <w:r w:rsidRPr="00553EBB">
        <w:rPr>
          <w:b/>
          <w:bCs/>
        </w:rPr>
        <w:t xml:space="preserve">Colen, L., Maertens, M., &amp; Swinnen, J. (2012). Foreign Direct Investment as an Engine for Economic Growth and Human Development: A Review of the Arguments and Empirical Evidence. </w:t>
      </w:r>
      <w:r w:rsidRPr="00553EBB">
        <w:rPr>
          <w:b/>
          <w:bCs/>
          <w:i/>
          <w:iCs/>
        </w:rPr>
        <w:t>Annual Review of Resource Economics, 4</w:t>
      </w:r>
      <w:r w:rsidRPr="00553EBB">
        <w:rPr>
          <w:b/>
          <w:bCs/>
        </w:rPr>
        <w:t>, 201-228.</w:t>
      </w:r>
      <w:r w:rsidRPr="00553EBB">
        <w:br/>
      </w:r>
      <w:r w:rsidRPr="00553EBB">
        <w:rPr>
          <w:b/>
          <w:bCs/>
        </w:rPr>
        <w:t>Methodology:</w:t>
      </w:r>
      <w:r w:rsidRPr="00553EBB">
        <w:t xml:space="preserve"> Systematic review of empirical literature linking FDI, MNCs, and agricultural growth/human development metrics.</w:t>
      </w:r>
      <w:r w:rsidRPr="00553EBB">
        <w:br/>
      </w:r>
      <w:r w:rsidRPr="00553EBB">
        <w:rPr>
          <w:b/>
          <w:bCs/>
        </w:rPr>
        <w:t>Key Findings:</w:t>
      </w:r>
      <w:r w:rsidRPr="00553EBB">
        <w:t xml:space="preserve"> FDI in agriculture is associated with productivity increases, but the distribution of gains depends heavily on local governance, labor standards, and value chain structure.</w:t>
      </w:r>
      <w:r w:rsidRPr="00553EBB">
        <w:br/>
      </w:r>
      <w:r w:rsidRPr="00553EBB">
        <w:rPr>
          <w:b/>
          <w:bCs/>
        </w:rPr>
        <w:t>Description:</w:t>
      </w:r>
      <w:r w:rsidRPr="00553EBB">
        <w:t xml:space="preserve"> Synthesizes the evidence on how and when FDI in agriculture spurs broader development.</w:t>
      </w:r>
    </w:p>
    <w:p w14:paraId="4B6E9F8F" w14:textId="77777777" w:rsidR="00553EBB" w:rsidRDefault="00553EBB" w:rsidP="00F11848"/>
    <w:sectPr w:rsidR="00553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6A1D"/>
    <w:multiLevelType w:val="multilevel"/>
    <w:tmpl w:val="58A4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90D53"/>
    <w:multiLevelType w:val="multilevel"/>
    <w:tmpl w:val="A392C0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8556EF"/>
    <w:multiLevelType w:val="multilevel"/>
    <w:tmpl w:val="A584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F21E8"/>
    <w:multiLevelType w:val="multilevel"/>
    <w:tmpl w:val="F12473E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056005"/>
    <w:multiLevelType w:val="multilevel"/>
    <w:tmpl w:val="BCB643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04007">
    <w:abstractNumId w:val="2"/>
  </w:num>
  <w:num w:numId="2" w16cid:durableId="68693211">
    <w:abstractNumId w:val="1"/>
  </w:num>
  <w:num w:numId="3" w16cid:durableId="390158158">
    <w:abstractNumId w:val="4"/>
  </w:num>
  <w:num w:numId="4" w16cid:durableId="659819568">
    <w:abstractNumId w:val="0"/>
  </w:num>
  <w:num w:numId="5" w16cid:durableId="1020006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48"/>
    <w:rsid w:val="000E445C"/>
    <w:rsid w:val="001157CA"/>
    <w:rsid w:val="00412C9B"/>
    <w:rsid w:val="00553EBB"/>
    <w:rsid w:val="00970DC5"/>
    <w:rsid w:val="00A33D27"/>
    <w:rsid w:val="00F1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890C"/>
  <w15:chartTrackingRefBased/>
  <w15:docId w15:val="{85098677-20D3-4BFA-B2E3-A7A26EE1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48"/>
    <w:rPr>
      <w:rFonts w:eastAsiaTheme="majorEastAsia" w:cstheme="majorBidi"/>
      <w:color w:val="272727" w:themeColor="text1" w:themeTint="D8"/>
    </w:rPr>
  </w:style>
  <w:style w:type="paragraph" w:styleId="Title">
    <w:name w:val="Title"/>
    <w:basedOn w:val="Normal"/>
    <w:next w:val="Normal"/>
    <w:link w:val="TitleChar"/>
    <w:uiPriority w:val="10"/>
    <w:qFormat/>
    <w:rsid w:val="00F11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48"/>
    <w:pPr>
      <w:spacing w:before="160"/>
      <w:jc w:val="center"/>
    </w:pPr>
    <w:rPr>
      <w:i/>
      <w:iCs/>
      <w:color w:val="404040" w:themeColor="text1" w:themeTint="BF"/>
    </w:rPr>
  </w:style>
  <w:style w:type="character" w:customStyle="1" w:styleId="QuoteChar">
    <w:name w:val="Quote Char"/>
    <w:basedOn w:val="DefaultParagraphFont"/>
    <w:link w:val="Quote"/>
    <w:uiPriority w:val="29"/>
    <w:rsid w:val="00F11848"/>
    <w:rPr>
      <w:i/>
      <w:iCs/>
      <w:color w:val="404040" w:themeColor="text1" w:themeTint="BF"/>
    </w:rPr>
  </w:style>
  <w:style w:type="paragraph" w:styleId="ListParagraph">
    <w:name w:val="List Paragraph"/>
    <w:basedOn w:val="Normal"/>
    <w:uiPriority w:val="34"/>
    <w:qFormat/>
    <w:rsid w:val="00F11848"/>
    <w:pPr>
      <w:ind w:left="720"/>
      <w:contextualSpacing/>
    </w:pPr>
  </w:style>
  <w:style w:type="character" w:styleId="IntenseEmphasis">
    <w:name w:val="Intense Emphasis"/>
    <w:basedOn w:val="DefaultParagraphFont"/>
    <w:uiPriority w:val="21"/>
    <w:qFormat/>
    <w:rsid w:val="00F11848"/>
    <w:rPr>
      <w:i/>
      <w:iCs/>
      <w:color w:val="0F4761" w:themeColor="accent1" w:themeShade="BF"/>
    </w:rPr>
  </w:style>
  <w:style w:type="paragraph" w:styleId="IntenseQuote">
    <w:name w:val="Intense Quote"/>
    <w:basedOn w:val="Normal"/>
    <w:next w:val="Normal"/>
    <w:link w:val="IntenseQuoteChar"/>
    <w:uiPriority w:val="30"/>
    <w:qFormat/>
    <w:rsid w:val="00F11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848"/>
    <w:rPr>
      <w:i/>
      <w:iCs/>
      <w:color w:val="0F4761" w:themeColor="accent1" w:themeShade="BF"/>
    </w:rPr>
  </w:style>
  <w:style w:type="character" w:styleId="IntenseReference">
    <w:name w:val="Intense Reference"/>
    <w:basedOn w:val="DefaultParagraphFont"/>
    <w:uiPriority w:val="32"/>
    <w:qFormat/>
    <w:rsid w:val="00F11848"/>
    <w:rPr>
      <w:b/>
      <w:bCs/>
      <w:smallCaps/>
      <w:color w:val="0F4761" w:themeColor="accent1" w:themeShade="BF"/>
      <w:spacing w:val="5"/>
    </w:rPr>
  </w:style>
  <w:style w:type="character" w:styleId="Hyperlink">
    <w:name w:val="Hyperlink"/>
    <w:basedOn w:val="DefaultParagraphFont"/>
    <w:uiPriority w:val="99"/>
    <w:unhideWhenUsed/>
    <w:rsid w:val="00F11848"/>
    <w:rPr>
      <w:color w:val="467886" w:themeColor="hyperlink"/>
      <w:u w:val="single"/>
    </w:rPr>
  </w:style>
  <w:style w:type="character" w:styleId="UnresolvedMention">
    <w:name w:val="Unresolved Mention"/>
    <w:basedOn w:val="DefaultParagraphFont"/>
    <w:uiPriority w:val="99"/>
    <w:semiHidden/>
    <w:unhideWhenUsed/>
    <w:rsid w:val="00F11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91">
      <w:bodyDiv w:val="1"/>
      <w:marLeft w:val="0"/>
      <w:marRight w:val="0"/>
      <w:marTop w:val="0"/>
      <w:marBottom w:val="0"/>
      <w:divBdr>
        <w:top w:val="none" w:sz="0" w:space="0" w:color="auto"/>
        <w:left w:val="none" w:sz="0" w:space="0" w:color="auto"/>
        <w:bottom w:val="none" w:sz="0" w:space="0" w:color="auto"/>
        <w:right w:val="none" w:sz="0" w:space="0" w:color="auto"/>
      </w:divBdr>
    </w:div>
    <w:div w:id="20329186">
      <w:bodyDiv w:val="1"/>
      <w:marLeft w:val="0"/>
      <w:marRight w:val="0"/>
      <w:marTop w:val="0"/>
      <w:marBottom w:val="0"/>
      <w:divBdr>
        <w:top w:val="none" w:sz="0" w:space="0" w:color="auto"/>
        <w:left w:val="none" w:sz="0" w:space="0" w:color="auto"/>
        <w:bottom w:val="none" w:sz="0" w:space="0" w:color="auto"/>
        <w:right w:val="none" w:sz="0" w:space="0" w:color="auto"/>
      </w:divBdr>
    </w:div>
    <w:div w:id="208148529">
      <w:bodyDiv w:val="1"/>
      <w:marLeft w:val="0"/>
      <w:marRight w:val="0"/>
      <w:marTop w:val="0"/>
      <w:marBottom w:val="0"/>
      <w:divBdr>
        <w:top w:val="none" w:sz="0" w:space="0" w:color="auto"/>
        <w:left w:val="none" w:sz="0" w:space="0" w:color="auto"/>
        <w:bottom w:val="none" w:sz="0" w:space="0" w:color="auto"/>
        <w:right w:val="none" w:sz="0" w:space="0" w:color="auto"/>
      </w:divBdr>
    </w:div>
    <w:div w:id="432897243">
      <w:bodyDiv w:val="1"/>
      <w:marLeft w:val="0"/>
      <w:marRight w:val="0"/>
      <w:marTop w:val="0"/>
      <w:marBottom w:val="0"/>
      <w:divBdr>
        <w:top w:val="none" w:sz="0" w:space="0" w:color="auto"/>
        <w:left w:val="none" w:sz="0" w:space="0" w:color="auto"/>
        <w:bottom w:val="none" w:sz="0" w:space="0" w:color="auto"/>
        <w:right w:val="none" w:sz="0" w:space="0" w:color="auto"/>
      </w:divBdr>
    </w:div>
    <w:div w:id="439683617">
      <w:bodyDiv w:val="1"/>
      <w:marLeft w:val="0"/>
      <w:marRight w:val="0"/>
      <w:marTop w:val="0"/>
      <w:marBottom w:val="0"/>
      <w:divBdr>
        <w:top w:val="none" w:sz="0" w:space="0" w:color="auto"/>
        <w:left w:val="none" w:sz="0" w:space="0" w:color="auto"/>
        <w:bottom w:val="none" w:sz="0" w:space="0" w:color="auto"/>
        <w:right w:val="none" w:sz="0" w:space="0" w:color="auto"/>
      </w:divBdr>
    </w:div>
    <w:div w:id="729890430">
      <w:bodyDiv w:val="1"/>
      <w:marLeft w:val="0"/>
      <w:marRight w:val="0"/>
      <w:marTop w:val="0"/>
      <w:marBottom w:val="0"/>
      <w:divBdr>
        <w:top w:val="none" w:sz="0" w:space="0" w:color="auto"/>
        <w:left w:val="none" w:sz="0" w:space="0" w:color="auto"/>
        <w:bottom w:val="none" w:sz="0" w:space="0" w:color="auto"/>
        <w:right w:val="none" w:sz="0" w:space="0" w:color="auto"/>
      </w:divBdr>
    </w:div>
    <w:div w:id="1208949180">
      <w:bodyDiv w:val="1"/>
      <w:marLeft w:val="0"/>
      <w:marRight w:val="0"/>
      <w:marTop w:val="0"/>
      <w:marBottom w:val="0"/>
      <w:divBdr>
        <w:top w:val="none" w:sz="0" w:space="0" w:color="auto"/>
        <w:left w:val="none" w:sz="0" w:space="0" w:color="auto"/>
        <w:bottom w:val="none" w:sz="0" w:space="0" w:color="auto"/>
        <w:right w:val="none" w:sz="0" w:space="0" w:color="auto"/>
      </w:divBdr>
    </w:div>
    <w:div w:id="191477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ctad.org/system/files/official-document/wir2020_en.pdf" TargetMode="External"/><Relationship Id="rId5" Type="http://schemas.openxmlformats.org/officeDocument/2006/relationships/hyperlink" Target="https://doi.org/10.1057/s41599-025-04571-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Jeronimo Velasquez</dc:creator>
  <cp:keywords/>
  <dc:description/>
  <cp:lastModifiedBy>Samuel Jeronimo Velasquez</cp:lastModifiedBy>
  <cp:revision>1</cp:revision>
  <dcterms:created xsi:type="dcterms:W3CDTF">2025-06-10T19:50:00Z</dcterms:created>
  <dcterms:modified xsi:type="dcterms:W3CDTF">2025-06-10T20:36:00Z</dcterms:modified>
</cp:coreProperties>
</file>