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i w:val="0"/>
          <w:color w:val="009688"/>
          <w:sz w:val="20"/>
        </w:rPr>
        <w:t>MASTERCARD INNOVATION CHALLENGE 2026</w:t>
      </w:r>
    </w:p>
    <w:p>
      <w:pPr>
        <w:spacing w:after="160"/>
        <w:jc w:val="center"/>
      </w:pPr>
      <w:r>
        <w:rPr>
          <w:rFonts w:ascii="Calibri" w:hAnsi="Calibri"/>
          <w:b/>
          <w:i w:val="0"/>
          <w:color w:val="0B2545"/>
          <w:sz w:val="64"/>
        </w:rPr>
        <w:t>SentinelLoop</w:t>
      </w:r>
    </w:p>
    <w:p>
      <w:pPr>
        <w:spacing w:after="120"/>
        <w:jc w:val="center"/>
      </w:pPr>
      <w:r>
        <w:rPr>
          <w:rFonts w:ascii="Calibri" w:hAnsi="Calibri"/>
          <w:b/>
          <w:i w:val="0"/>
          <w:color w:val="1F4D78"/>
          <w:sz w:val="34"/>
        </w:rPr>
        <w:t>AI Defense Lab for Payment Security</w:t>
      </w:r>
    </w:p>
    <w:p>
      <w:pPr>
        <w:spacing w:after="600"/>
        <w:jc w:val="center"/>
      </w:pPr>
      <w:r>
        <w:rPr>
          <w:rFonts w:ascii="Calibri" w:hAnsi="Calibri"/>
          <w:b w:val="0"/>
          <w:i/>
          <w:color w:val="5E6C7A"/>
          <w:sz w:val="23"/>
        </w:rPr>
        <w:t>Solution concept, adversarial design, evaluation approach, and development roadmap</w:t>
      </w:r>
    </w:p>
    <w:p>
      <w:pPr>
        <w:spacing w:after="560"/>
        <w:jc w:val="center"/>
      </w:pPr>
      <w:r>
        <w:rPr>
          <w:rFonts w:ascii="Calibri" w:hAnsi="Calibri"/>
          <w:b/>
          <w:i w:val="0"/>
          <w:color w:val="009688"/>
          <w:sz w:val="21"/>
        </w:rPr>
        <w:t>RED TEAM  →  ARENA  →  BLUE TEAM  →  LEARN  →  REPEAT</w:t>
      </w:r>
    </w:p>
    <w:p>
      <w:pPr>
        <w:spacing w:after="1600" w:line="324" w:lineRule="auto"/>
        <w:ind w:left="792" w:right="792"/>
        <w:jc w:val="center"/>
      </w:pPr>
      <w:r>
        <w:rPr>
          <w:rFonts w:ascii="Calibri" w:hAnsi="Calibri"/>
          <w:b w:val="0"/>
          <w:i w:val="0"/>
          <w:color w:val="232B34"/>
          <w:sz w:val="25"/>
        </w:rPr>
        <w:t>A safe, synthetic environment where emerging payment attacks are generated, detected, explained, and evolved into progressively harder security tests.</w:t>
      </w:r>
    </w:p>
    <w:p>
      <w:pPr>
        <w:spacing w:after="80"/>
        <w:jc w:val="center"/>
      </w:pPr>
      <w:r>
        <w:rPr>
          <w:rFonts w:ascii="Calibri" w:hAnsi="Calibri"/>
          <w:b/>
          <w:i w:val="0"/>
          <w:color w:val="5E6C7A"/>
          <w:sz w:val="20"/>
        </w:rPr>
        <w:t>Working solution blueprint  |  18 August 2026</w:t>
      </w:r>
    </w:p>
    <w:p>
      <w:pPr>
        <w:jc w:val="center"/>
      </w:pPr>
      <w:r>
        <w:rPr>
          <w:rFonts w:ascii="Calibri" w:hAnsi="Calibri"/>
          <w:b w:val="0"/>
          <w:i/>
          <w:color w:val="5E6C7A"/>
          <w:sz w:val="19"/>
        </w:rPr>
        <w:t>Synthetic data only. No real customers, credentials, or payment execution.</w:t>
      </w:r>
    </w:p>
    <w:p>
      <w:r>
        <w:br w:type="page"/>
      </w:r>
    </w:p>
    <w:p>
      <w:pPr>
        <w:pStyle w:val="Heading1"/>
        <w:keepNext/>
      </w:pPr>
      <w:r>
        <w:t>Executive summary</w:t>
      </w:r>
    </w:p>
    <w:p>
      <w:pPr>
        <w:spacing w:before="0" w:after="160" w:line="320" w:lineRule="auto"/>
        <w:jc w:val="both"/>
      </w:pPr>
      <w:r>
        <w:rPr>
          <w:rFonts w:ascii="Calibri" w:hAnsi="Calibri"/>
          <w:b w:val="0"/>
          <w:i w:val="0"/>
          <w:color w:val="232B34"/>
          <w:sz w:val="22"/>
        </w:rPr>
        <w:t>SentinelLoop is a closed-loop adversarial payment-security laboratory. It creates realistic payment behavior, injects diverse synthetic fraud campaigns, challenges a layered defense to detect and mitigate them, and uses the resulting weaknesses to design the next generation of attacks. The central idea is not a standalone fraud classifier. It is a repeatable learning arena in which attack generation and defense improvement strengthen one another.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F5F2"/>
            <w:tcMar>
              <w:top w:w="100" w:type="dxa"/>
              <w:start w:w="120" w:type="dxa"/>
              <w:bottom w:w="100" w:type="dxa"/>
              <w:end w:w="120" w:type="dxa"/>
            </w:tcMar>
            <w:vAlign w:val="center"/>
          </w:tcPr>
          <w:p>
            <w:pPr>
              <w:spacing w:after="60" w:line="276" w:lineRule="auto"/>
            </w:pPr>
            <w:r>
              <w:rPr>
                <w:rFonts w:ascii="Calibri" w:hAnsi="Calibri"/>
                <w:b/>
                <w:i w:val="0"/>
                <w:color w:val="009688"/>
                <w:sz w:val="18"/>
              </w:rPr>
              <w:t xml:space="preserve">CORE PROPOSITION  </w:t>
            </w:r>
            <w:r>
              <w:rPr>
                <w:rFonts w:ascii="Calibri" w:hAnsi="Calibri"/>
                <w:b w:val="0"/>
                <w:i w:val="0"/>
                <w:color w:val="232B34"/>
                <w:sz w:val="20"/>
              </w:rPr>
              <w:t>Build the attack, measure the defense, learn from every miss, and return with a harder but controlled synthetic attack.</w:t>
            </w:r>
          </w:p>
        </w:tc>
      </w:tr>
    </w:tbl>
    <w:p>
      <w:pPr>
        <w:spacing w:after="40"/>
      </w:pPr>
    </w:p>
    <w:p>
      <w:pPr>
        <w:pStyle w:val="Heading1"/>
        <w:keepNext/>
      </w:pPr>
      <w:r>
        <w:t>1. Challenge interpretation</w:t>
      </w:r>
    </w:p>
    <w:p>
      <w:pPr>
        <w:spacing w:before="0" w:after="160" w:line="320" w:lineRule="auto"/>
        <w:jc w:val="both"/>
      </w:pPr>
      <w:r>
        <w:rPr>
          <w:rFonts w:ascii="Calibri" w:hAnsi="Calibri"/>
          <w:b w:val="0"/>
          <w:i w:val="0"/>
          <w:color w:val="232B34"/>
          <w:sz w:val="22"/>
        </w:rPr>
        <w:t>The innovation challenge asks for one end-to-end system across three connected pillars: identify emerging GenAI-enabled payment fraud, generate those attacks at realistic scale, and defend against them accurately while controlling customer friction. SentinelLoop treats these pillars as one operating loop rather than three separate demonstrations.</w:t>
      </w:r>
    </w:p>
    <w:p>
      <w:pPr>
        <w:spacing w:before="0" w:after="80" w:line="290" w:lineRule="auto"/>
        <w:numPr>
          <w:ilvl w:val="0"/>
          <w:numId w:val="100"/>
        </w:numPr>
      </w:pPr>
      <w:r>
        <w:rPr>
          <w:rFonts w:ascii="Calibri" w:hAnsi="Calibri"/>
          <w:b/>
          <w:i w:val="0"/>
          <w:color w:val="0B2545"/>
          <w:sz w:val="22"/>
        </w:rPr>
        <w:t>Identify:</w:t>
      </w:r>
      <w:r>
        <w:rPr>
          <w:rFonts w:ascii="Calibri" w:hAnsi="Calibri"/>
          <w:b w:val="0"/>
          <w:i w:val="0"/>
          <w:color w:val="232B34"/>
          <w:sz w:val="22"/>
        </w:rPr>
        <w:t xml:space="preserve"> maintain a broad, evidence-oriented map of emerging fraud across payment rails, channels, customer journeys, and connected entities.</w:t>
      </w:r>
    </w:p>
    <w:p>
      <w:pPr>
        <w:spacing w:before="0" w:after="80" w:line="290" w:lineRule="auto"/>
        <w:numPr>
          <w:ilvl w:val="0"/>
          <w:numId w:val="100"/>
        </w:numPr>
      </w:pPr>
      <w:r>
        <w:rPr>
          <w:rFonts w:ascii="Calibri" w:hAnsi="Calibri"/>
          <w:b/>
          <w:i w:val="0"/>
          <w:color w:val="0B2545"/>
          <w:sz w:val="22"/>
        </w:rPr>
        <w:t>Generate:</w:t>
      </w:r>
      <w:r>
        <w:rPr>
          <w:rFonts w:ascii="Calibri" w:hAnsi="Calibri"/>
          <w:b w:val="0"/>
          <w:i w:val="0"/>
          <w:color w:val="232B34"/>
          <w:sz w:val="22"/>
        </w:rPr>
        <w:t xml:space="preserve"> translate attack ideas into reproducible payment behavior, including realistic distributions, timing, relationships, and legitimate look-alikes.</w:t>
      </w:r>
    </w:p>
    <w:p>
      <w:pPr>
        <w:spacing w:before="0" w:after="80" w:line="290" w:lineRule="auto"/>
        <w:numPr>
          <w:ilvl w:val="0"/>
          <w:numId w:val="100"/>
        </w:numPr>
      </w:pPr>
      <w:r>
        <w:rPr>
          <w:rFonts w:ascii="Calibri" w:hAnsi="Calibri"/>
          <w:b/>
          <w:i w:val="0"/>
          <w:color w:val="0B2545"/>
          <w:sz w:val="22"/>
        </w:rPr>
        <w:t>Defend:</w:t>
      </w:r>
      <w:r>
        <w:rPr>
          <w:rFonts w:ascii="Calibri" w:hAnsi="Calibri"/>
          <w:b w:val="0"/>
          <w:i w:val="0"/>
          <w:color w:val="232B34"/>
          <w:sz w:val="22"/>
        </w:rPr>
        <w:t xml:space="preserve"> combine behavioral, transaction, sequence, and network evidence to estimate risk and recommend proportionate mitigation.</w:t>
      </w:r>
    </w:p>
    <w:p>
      <w:pPr>
        <w:spacing w:before="0" w:after="80" w:line="290" w:lineRule="auto"/>
        <w:numPr>
          <w:ilvl w:val="0"/>
          <w:numId w:val="100"/>
        </w:numPr>
      </w:pPr>
      <w:r>
        <w:rPr>
          <w:rFonts w:ascii="Calibri" w:hAnsi="Calibri"/>
          <w:b/>
          <w:i w:val="0"/>
          <w:color w:val="0B2545"/>
          <w:sz w:val="22"/>
        </w:rPr>
        <w:t>Learn:</w:t>
      </w:r>
      <w:r>
        <w:rPr>
          <w:rFonts w:ascii="Calibri" w:hAnsi="Calibri"/>
          <w:b w:val="0"/>
          <w:i w:val="0"/>
          <w:color w:val="232B34"/>
          <w:sz w:val="22"/>
        </w:rPr>
        <w:t xml:space="preserve"> feed misses, false positives, and weak signals back into the next controlled attack round.</w:t>
      </w:r>
    </w:p>
    <w:p>
      <w:pPr>
        <w:pStyle w:val="Heading1"/>
        <w:keepNext/>
      </w:pPr>
      <w:r>
        <w:t>2. Design principles</w:t>
      </w:r>
    </w:p>
    <w:p>
      <w:pPr>
        <w:spacing w:before="0" w:after="80" w:line="290" w:lineRule="auto"/>
        <w:numPr>
          <w:ilvl w:val="0"/>
          <w:numId w:val="100"/>
        </w:numPr>
      </w:pPr>
      <w:r>
        <w:rPr>
          <w:rFonts w:ascii="Calibri" w:hAnsi="Calibri"/>
          <w:b w:val="0"/>
          <w:i w:val="0"/>
          <w:color w:val="232B34"/>
          <w:sz w:val="22"/>
        </w:rPr>
        <w:t>Breadth with depth. Maintain a wide attack taxonomy, but develop selected scenarios deeply enough to demonstrate realistic behavior and measurable defensive value.</w:t>
      </w:r>
    </w:p>
    <w:p>
      <w:pPr>
        <w:spacing w:before="0" w:after="80" w:line="290" w:lineRule="auto"/>
        <w:numPr>
          <w:ilvl w:val="0"/>
          <w:numId w:val="100"/>
        </w:numPr>
      </w:pPr>
      <w:r>
        <w:rPr>
          <w:rFonts w:ascii="Calibri" w:hAnsi="Calibri"/>
          <w:b w:val="0"/>
          <w:i w:val="0"/>
          <w:color w:val="232B34"/>
          <w:sz w:val="22"/>
        </w:rPr>
        <w:t>Observable behavior over labels. The defender reasons from payment events and history; the private ground truth remains with the evaluation environment.</w:t>
      </w:r>
    </w:p>
    <w:p>
      <w:pPr>
        <w:spacing w:before="0" w:after="80" w:line="290" w:lineRule="auto"/>
        <w:numPr>
          <w:ilvl w:val="0"/>
          <w:numId w:val="100"/>
        </w:numPr>
      </w:pPr>
      <w:r>
        <w:rPr>
          <w:rFonts w:ascii="Calibri" w:hAnsi="Calibri"/>
          <w:b w:val="0"/>
          <w:i w:val="0"/>
          <w:color w:val="232B34"/>
          <w:sz w:val="22"/>
        </w:rPr>
        <w:t>Realistic ambiguity. Legitimate behavior must sometimes resemble fraud, and fraud must sometimes resemble normal activity.</w:t>
      </w:r>
    </w:p>
    <w:p>
      <w:pPr>
        <w:spacing w:before="0" w:after="80" w:line="290" w:lineRule="auto"/>
        <w:numPr>
          <w:ilvl w:val="0"/>
          <w:numId w:val="100"/>
        </w:numPr>
      </w:pPr>
      <w:r>
        <w:rPr>
          <w:rFonts w:ascii="Calibri" w:hAnsi="Calibri"/>
          <w:b w:val="0"/>
          <w:i w:val="0"/>
          <w:color w:val="232B34"/>
          <w:sz w:val="22"/>
        </w:rPr>
        <w:t>Explainable action. A high score alone is insufficient; each alert needs evidence and a suitable response.</w:t>
      </w:r>
    </w:p>
    <w:p>
      <w:pPr>
        <w:spacing w:before="0" w:after="80" w:line="290" w:lineRule="auto"/>
        <w:numPr>
          <w:ilvl w:val="0"/>
          <w:numId w:val="100"/>
        </w:numPr>
      </w:pPr>
      <w:r>
        <w:rPr>
          <w:rFonts w:ascii="Calibri" w:hAnsi="Calibri"/>
          <w:b w:val="0"/>
          <w:i w:val="0"/>
          <w:color w:val="232B34"/>
          <w:sz w:val="22"/>
        </w:rPr>
        <w:t>Safe by construction. The environment uses synthetic entities and does not create real phishing content, access payment rails, or handle authentic credentials.</w:t>
      </w:r>
    </w:p>
    <w:p>
      <w:pPr>
        <w:pStyle w:val="Heading1"/>
        <w:keepNext/>
      </w:pPr>
      <w:r>
        <w:t>3. The Red Team, Blue Team, and Arena</w:t>
      </w:r>
    </w:p>
    <w:p>
      <w:pPr>
        <w:spacing w:before="0" w:after="160" w:line="320" w:lineRule="auto"/>
        <w:jc w:val="both"/>
      </w:pPr>
      <w:r>
        <w:rPr>
          <w:rFonts w:ascii="Calibri" w:hAnsi="Calibri"/>
          <w:b w:val="0"/>
          <w:i w:val="0"/>
          <w:color w:val="232B34"/>
          <w:sz w:val="22"/>
        </w:rPr>
        <w:t>The simplest way to understand SentinelLoop is as a supervised security practice match. The Red Team creates a controlled fraud campaign. The Blue Team sees the resulting payment behavior and attempts to detect it. The Arena keeps the answer sheet, scores the outcome, and records what both sides should learn.</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Role</w:t>
            </w:r>
          </w:p>
        </w:tc>
        <w:tc>
          <w:tcPr>
            <w:tcW w:type="dxa" w:w="33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Primary objective</w:t>
            </w:r>
          </w:p>
        </w:tc>
        <w:tc>
          <w:tcPr>
            <w:tcW w:type="dxa" w:w="456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Information available</w:t>
            </w:r>
          </w:p>
        </w:tc>
      </w:tr>
      <w:tr>
        <w:trPr>
          <w:cantSplit/>
        </w:trPr>
        <w:tc>
          <w:tcPr>
            <w:tcW w:type="dxa" w:w="15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Red Team</w:t>
            </w:r>
          </w:p>
        </w:tc>
        <w:tc>
          <w:tcPr>
            <w:tcW w:type="dxa" w:w="3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Create plausible synthetic attacks and progressively harder variants.</w:t>
            </w:r>
          </w:p>
        </w:tc>
        <w:tc>
          <w:tcPr>
            <w:tcW w:type="dxa" w:w="4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Attack intent, scenario parameters, synthetic entities, and campaign history.</w:t>
            </w:r>
          </w:p>
        </w:tc>
      </w:tr>
      <w:tr>
        <w:trPr>
          <w:cantSplit/>
        </w:trPr>
        <w:tc>
          <w:tcPr>
            <w:tcW w:type="dxa" w:w="15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Blue Team</w:t>
            </w:r>
          </w:p>
        </w:tc>
        <w:tc>
          <w:tcPr>
            <w:tcW w:type="dxa" w:w="3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Detect, explain, and recommend mitigation with low customer friction.</w:t>
            </w:r>
          </w:p>
        </w:tc>
        <w:tc>
          <w:tcPr>
            <w:tcW w:type="dxa" w:w="4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Observable transaction, customer-history, device, beneficiary, timing, and network signals.</w:t>
            </w:r>
          </w:p>
        </w:tc>
      </w:tr>
      <w:tr>
        <w:trPr>
          <w:cantSplit/>
        </w:trPr>
        <w:tc>
          <w:tcPr>
            <w:tcW w:type="dxa" w:w="15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Arena</w:t>
            </w:r>
          </w:p>
        </w:tc>
        <w:tc>
          <w:tcPr>
            <w:tcW w:type="dxa" w:w="3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Keep ground truth hidden, run fair evaluation, and capture learning.</w:t>
            </w:r>
          </w:p>
        </w:tc>
        <w:tc>
          <w:tcPr>
            <w:tcW w:type="dxa" w:w="4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True fraud label, attack family, campaign identity, predictions, outcomes, and evaluation metrics.</w:t>
            </w:r>
          </w:p>
        </w:tc>
      </w:tr>
    </w:tbl>
    <w:p>
      <w:pPr>
        <w:spacing w:after="40"/>
      </w:pPr>
    </w:p>
    <w:p>
      <w:pPr>
        <w:pStyle w:val="Heading2"/>
        <w:keepNext/>
      </w:pPr>
      <w:r>
        <w:t>Plain-English example</w:t>
      </w:r>
    </w:p>
    <w:p>
      <w:pPr>
        <w:spacing w:before="0" w:after="160" w:line="320" w:lineRule="auto"/>
        <w:jc w:val="both"/>
      </w:pPr>
      <w:r>
        <w:rPr>
          <w:rFonts w:ascii="Calibri" w:hAnsi="Calibri"/>
          <w:b w:val="0"/>
          <w:i w:val="0"/>
          <w:color w:val="232B34"/>
          <w:sz w:val="22"/>
        </w:rPr>
        <w:t>A fictional customer, Riya, usually pays about INR 1,000 from the same phone and region. The Red Team introduces a synthetic event in which a payment is attempted from a different device, to a newly introduced beneficiary, for an amount far outside her normal pattern. The private answer sheet says the event belongs to an account-takeover campaign. The Blue Team receives only the observable behavior and produces a risk estimate. The Arena compares prediction with truth.</w:t>
      </w:r>
    </w:p>
    <w:p>
      <w:pPr>
        <w:spacing w:before="0" w:after="80" w:line="290" w:lineRule="auto"/>
        <w:numPr>
          <w:ilvl w:val="0"/>
          <w:numId w:val="100"/>
        </w:numPr>
      </w:pPr>
      <w:r>
        <w:rPr>
          <w:rFonts w:ascii="Calibri" w:hAnsi="Calibri"/>
          <w:b w:val="0"/>
          <w:i w:val="0"/>
          <w:color w:val="232B34"/>
          <w:sz w:val="22"/>
        </w:rPr>
        <w:t>Actual fraud and predicted fraud: a correct detection.</w:t>
      </w:r>
    </w:p>
    <w:p>
      <w:pPr>
        <w:spacing w:before="0" w:after="80" w:line="290" w:lineRule="auto"/>
        <w:numPr>
          <w:ilvl w:val="0"/>
          <w:numId w:val="100"/>
        </w:numPr>
      </w:pPr>
      <w:r>
        <w:rPr>
          <w:rFonts w:ascii="Calibri" w:hAnsi="Calibri"/>
          <w:b w:val="0"/>
          <w:i w:val="0"/>
          <w:color w:val="232B34"/>
          <w:sz w:val="22"/>
        </w:rPr>
        <w:t>Actual fraud and predicted legitimate: missed fraud.</w:t>
      </w:r>
    </w:p>
    <w:p>
      <w:pPr>
        <w:spacing w:before="0" w:after="80" w:line="290" w:lineRule="auto"/>
        <w:numPr>
          <w:ilvl w:val="0"/>
          <w:numId w:val="100"/>
        </w:numPr>
      </w:pPr>
      <w:r>
        <w:rPr>
          <w:rFonts w:ascii="Calibri" w:hAnsi="Calibri"/>
          <w:b w:val="0"/>
          <w:i w:val="0"/>
          <w:color w:val="232B34"/>
          <w:sz w:val="22"/>
        </w:rPr>
        <w:t>Actual legitimate and predicted fraud: a false positive that may inconvenience a customer.</w:t>
      </w:r>
    </w:p>
    <w:p>
      <w:pPr>
        <w:spacing w:before="0" w:after="80" w:line="290" w:lineRule="auto"/>
        <w:numPr>
          <w:ilvl w:val="0"/>
          <w:numId w:val="100"/>
        </w:numPr>
      </w:pPr>
      <w:r>
        <w:rPr>
          <w:rFonts w:ascii="Calibri" w:hAnsi="Calibri"/>
          <w:b w:val="0"/>
          <w:i w:val="0"/>
          <w:color w:val="232B34"/>
          <w:sz w:val="22"/>
        </w:rPr>
        <w:t>Actual legitimate and predicted legitimate: a correct allow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100" w:type="dxa"/>
              <w:start w:w="120" w:type="dxa"/>
              <w:bottom w:w="100" w:type="dxa"/>
              <w:end w:w="120" w:type="dxa"/>
            </w:tcMar>
            <w:vAlign w:val="center"/>
          </w:tcPr>
          <w:p>
            <w:pPr>
              <w:spacing w:after="60" w:line="276" w:lineRule="auto"/>
            </w:pPr>
            <w:r>
              <w:rPr>
                <w:rFonts w:ascii="Calibri" w:hAnsi="Calibri"/>
                <w:b/>
                <w:i w:val="0"/>
                <w:color w:val="2E74B5"/>
                <w:sz w:val="18"/>
              </w:rPr>
              <w:t xml:space="preserve">KEY DISTINCTION  </w:t>
            </w:r>
            <w:r>
              <w:rPr>
                <w:rFonts w:ascii="Calibri" w:hAnsi="Calibri"/>
                <w:b w:val="0"/>
                <w:i w:val="0"/>
                <w:color w:val="232B34"/>
                <w:sz w:val="20"/>
              </w:rPr>
              <w:t>The fields that describe truth are the examiner's answer sheet. They support training and evaluation, but they are hidden when the Blue Team makes a decision.</w:t>
            </w:r>
          </w:p>
        </w:tc>
      </w:tr>
    </w:tbl>
    <w:p>
      <w:pPr>
        <w:spacing w:after="40"/>
      </w:pPr>
    </w:p>
    <w:p>
      <w:pPr>
        <w:pStyle w:val="Heading1"/>
        <w:keepNext/>
      </w:pPr>
      <w:r>
        <w:t>4. Why synthetic data is central</w:t>
      </w:r>
    </w:p>
    <w:p>
      <w:pPr>
        <w:spacing w:before="0" w:after="160" w:line="320" w:lineRule="auto"/>
        <w:jc w:val="both"/>
      </w:pPr>
      <w:r>
        <w:rPr>
          <w:rFonts w:ascii="Calibri" w:hAnsi="Calibri"/>
          <w:b w:val="0"/>
          <w:i w:val="0"/>
          <w:color w:val="232B34"/>
          <w:sz w:val="22"/>
        </w:rPr>
        <w:t>Synthetic data is not merely preparation for the defense. It is the challenge's Generate pillar. It turns an attack narrative into observable payments, entities, relationships, and sequences that can be measured, replayed, and used for controlled training.</w:t>
      </w:r>
    </w:p>
    <w:p>
      <w:pPr>
        <w:pStyle w:val="Heading2"/>
        <w:keepNext/>
      </w:pPr>
      <w:r>
        <w:t>What the synthetic environment provides</w:t>
      </w:r>
    </w:p>
    <w:p>
      <w:pPr>
        <w:spacing w:before="0" w:after="80" w:line="290" w:lineRule="auto"/>
        <w:numPr>
          <w:ilvl w:val="0"/>
          <w:numId w:val="100"/>
        </w:numPr>
      </w:pPr>
      <w:r>
        <w:rPr>
          <w:rFonts w:ascii="Calibri" w:hAnsi="Calibri"/>
          <w:b w:val="0"/>
          <w:i w:val="0"/>
          <w:color w:val="232B34"/>
          <w:sz w:val="22"/>
        </w:rPr>
        <w:t>A population of fictional customers with typical devices, regions, payment amounts, recipients, rails, and activity patterns.</w:t>
      </w:r>
    </w:p>
    <w:p>
      <w:pPr>
        <w:spacing w:before="0" w:after="80" w:line="290" w:lineRule="auto"/>
        <w:numPr>
          <w:ilvl w:val="0"/>
          <w:numId w:val="100"/>
        </w:numPr>
      </w:pPr>
      <w:r>
        <w:rPr>
          <w:rFonts w:ascii="Calibri" w:hAnsi="Calibri"/>
          <w:b w:val="0"/>
          <w:i w:val="0"/>
          <w:color w:val="232B34"/>
          <w:sz w:val="22"/>
        </w:rPr>
        <w:t>Ordinary payments and difficult legitimate events such as travel, phone replacement, shared household devices, popular merchants, and crowdfunding bursts.</w:t>
      </w:r>
    </w:p>
    <w:p>
      <w:pPr>
        <w:spacing w:before="0" w:after="80" w:line="290" w:lineRule="auto"/>
        <w:numPr>
          <w:ilvl w:val="0"/>
          <w:numId w:val="100"/>
        </w:numPr>
      </w:pPr>
      <w:r>
        <w:rPr>
          <w:rFonts w:ascii="Calibri" w:hAnsi="Calibri"/>
          <w:b w:val="0"/>
          <w:i w:val="0"/>
          <w:color w:val="232B34"/>
          <w:sz w:val="22"/>
        </w:rPr>
        <w:t>Labeled attack campaigns with known objectives, difficulty, entities, timing, and expected patterns.</w:t>
      </w:r>
    </w:p>
    <w:p>
      <w:pPr>
        <w:spacing w:before="0" w:after="80" w:line="290" w:lineRule="auto"/>
        <w:numPr>
          <w:ilvl w:val="0"/>
          <w:numId w:val="100"/>
        </w:numPr>
      </w:pPr>
      <w:r>
        <w:rPr>
          <w:rFonts w:ascii="Calibri" w:hAnsi="Calibri"/>
          <w:b w:val="0"/>
          <w:i w:val="0"/>
          <w:color w:val="232B34"/>
          <w:sz w:val="22"/>
        </w:rPr>
        <w:t>Repeatability through controlled experiment settings, allowing fair before-and-after comparisons.</w:t>
      </w:r>
    </w:p>
    <w:p>
      <w:pPr>
        <w:spacing w:before="0" w:after="80" w:line="290" w:lineRule="auto"/>
        <w:numPr>
          <w:ilvl w:val="0"/>
          <w:numId w:val="100"/>
        </w:numPr>
      </w:pPr>
      <w:r>
        <w:rPr>
          <w:rFonts w:ascii="Calibri" w:hAnsi="Calibri"/>
          <w:b w:val="0"/>
          <w:i w:val="0"/>
          <w:color w:val="232B34"/>
          <w:sz w:val="22"/>
        </w:rPr>
        <w:t>Access to future-facing attacks that may be missing from historical datasets.</w:t>
      </w:r>
    </w:p>
    <w:p>
      <w:pPr>
        <w:pStyle w:val="Heading2"/>
        <w:keepNext/>
      </w:pPr>
      <w:r>
        <w:t>Ground truth and observable signals</w:t>
      </w:r>
    </w:p>
    <w:p>
      <w:pPr>
        <w:spacing w:before="0" w:after="160" w:line="320" w:lineRule="auto"/>
        <w:jc w:val="both"/>
      </w:pPr>
      <w:r>
        <w:rPr>
          <w:rFonts w:ascii="Calibri" w:hAnsi="Calibri"/>
          <w:b w:val="0"/>
          <w:i w:val="0"/>
          <w:color w:val="232B34"/>
          <w:sz w:val="22"/>
        </w:rPr>
        <w:t>The environment privately records whether an event is fraudulent, which attack family produced it, and which campaign it belongs to. The defender instead sees only observable data such as amount, time, payment rail, device, coarse network, region, authentication method, account history, beneficiary history, and connected-entity behavior.</w:t>
      </w:r>
    </w:p>
    <w:p>
      <w:pPr>
        <w:spacing w:before="0" w:after="160" w:line="320" w:lineRule="auto"/>
        <w:jc w:val="both"/>
      </w:pPr>
      <w:r>
        <w:rPr>
          <w:rFonts w:ascii="Calibri" w:hAnsi="Calibri"/>
          <w:b w:val="0"/>
          <w:i w:val="0"/>
          <w:color w:val="232B34"/>
          <w:sz w:val="22"/>
        </w:rPr>
        <w:t>From that visible history, the Blue Team can derive questions such as: Is the device new for this customer? Is the amount unusual? How many transfers occurred recently? How many unrelated accounts paid the same beneficiary? Did several accounts suddenly share infrastructure? Is this pattern established over time or did it appear abruptly?</w:t>
      </w:r>
    </w:p>
    <w:p>
      <w:pPr>
        <w:pStyle w:val="Heading2"/>
        <w:keepNext/>
      </w:pPr>
      <w:r>
        <w:t>Fidelity requirements</w:t>
      </w:r>
    </w:p>
    <w:p>
      <w:pPr>
        <w:spacing w:before="0" w:after="160" w:line="320" w:lineRule="auto"/>
        <w:jc w:val="both"/>
      </w:pPr>
      <w:r>
        <w:rPr>
          <w:rFonts w:ascii="Calibri" w:hAnsi="Calibri"/>
          <w:b w:val="0"/>
          <w:i w:val="0"/>
          <w:color w:val="232B34"/>
          <w:sz w:val="22"/>
        </w:rPr>
        <w:t>A useful generator cannot give the answer away through artificial shortcuts. Fraud should not always use a new device, a fixed authentication method, or a large amount. Likewise, normal activity must include behaviors that resemble fraud. Evaluation must hold out whole campaigns and harder variants so defensive performance reflects generalization rather than memorization.</w:t>
      </w:r>
    </w:p>
    <w:p>
      <w:r>
        <w:br w:type="page"/>
      </w:r>
    </w:p>
    <w:p>
      <w:pPr>
        <w:pStyle w:val="Heading1"/>
        <w:keepNext/>
      </w:pPr>
      <w:r>
        <w:t>5. Attack portfolio</w:t>
      </w:r>
    </w:p>
    <w:p>
      <w:pPr>
        <w:spacing w:before="0" w:after="160" w:line="320" w:lineRule="auto"/>
        <w:jc w:val="both"/>
      </w:pPr>
      <w:r>
        <w:rPr>
          <w:rFonts w:ascii="Calibri" w:hAnsi="Calibri"/>
          <w:b w:val="0"/>
          <w:i w:val="0"/>
          <w:color w:val="232B34"/>
          <w:sz w:val="22"/>
        </w:rPr>
        <w:t>The final submission should demonstrate multiple attack types across customer, merchant, card, onboarding, and network surfaces. Development should remain staged: a broad taxonomy communicates coverage, while selected scenarios receive deeper simulation and evaluation.</w:t>
      </w:r>
    </w:p>
    <w:tbl>
      <w:tblPr>
        <w:tblStyle w:val="TableGrid"/>
        <w:tblW w:type="dxa" w:w="9360"/>
        <w:jc w:val="left"/>
        <w:tblLayout w:type="fixed"/>
        <w:tblLook w:firstColumn="1" w:firstRow="1" w:lastColumn="0" w:lastRow="0" w:noHBand="0" w:noVBand="1" w:val="04A0"/>
        <w:tblInd w:w="120" w:type="dxa"/>
      </w:tblPr>
      <w:tblGrid>
        <w:gridCol w:w="1100"/>
        <w:gridCol w:w="1700"/>
        <w:gridCol w:w="3700"/>
        <w:gridCol w:w="2860"/>
      </w:tblGrid>
      <w:tr>
        <w:trPr>
          <w:tblHeader w:val="true"/>
          <w:cantSplit/>
        </w:trPr>
        <w:tc>
          <w:tcPr>
            <w:tcW w:type="dxa" w:w="11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ID</w:t>
            </w:r>
          </w:p>
        </w:tc>
        <w:tc>
          <w:tcPr>
            <w:tcW w:type="dxa" w:w="17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Attack</w:t>
            </w:r>
          </w:p>
        </w:tc>
        <w:tc>
          <w:tcPr>
            <w:tcW w:type="dxa" w:w="37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Synthetic behavior</w:t>
            </w:r>
          </w:p>
        </w:tc>
        <w:tc>
          <w:tcPr>
            <w:tcW w:type="dxa" w:w="286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Primary defense</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ATO-01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Account takeover</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Abnormal session or device initiates payments inconsistent with the customer's history.</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Behavioral change and recipient risk</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MULE-01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Mule-ring cash-out</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Multiple accounts route value toward connected beneficiaries through coordinated activity.</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Graph, fan-in, and timing analysis</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CARD-01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Card testing</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Bursts of small card attempts are distributed across merchants or channels.</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Velocity and decline-pattern analysis</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SCAM-01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Authorized payment scam</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 customer willingly pays a fraudulent recipient after AI-assisted persuasion.</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Customer baseline and beneficiary intelligence</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SYNID-01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Synthetic identity</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An artificial identity establishes history before coordinated fraudulent use.</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Entity linkage and lifecycle analysis</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QR-01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QR or payee substitution</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 payment is redirected toward an unexpected recipient or context.</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Recipient and context consistency</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MERCH-01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Merchant or refund abuse</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Suspicious purchase-refund sequences or connected merchant behavior emerge.</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Sequence and merchant-network analysis</w:t>
            </w:r>
          </w:p>
        </w:tc>
      </w:tr>
      <w:tr>
        <w:trPr>
          <w:cantSplit/>
        </w:trPr>
        <w:tc>
          <w:tcPr>
            <w:tcW w:type="dxa" w:w="11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EVADE-01</w:t>
            </w:r>
          </w:p>
        </w:tc>
        <w:tc>
          <w:tcPr>
            <w:tcW w:type="dxa" w:w="1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Adaptive evasion</w:t>
            </w:r>
          </w:p>
        </w:tc>
        <w:tc>
          <w:tcPr>
            <w:tcW w:type="dxa" w:w="37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Attack parameters change after the defense exposes its strongest signals.</w:t>
            </w:r>
          </w:p>
        </w:tc>
        <w:tc>
          <w:tcPr>
            <w:tcW w:type="dxa" w:w="28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Adversarial testing and retraining</w:t>
            </w:r>
          </w:p>
        </w:tc>
      </w:tr>
    </w:tbl>
    <w:p>
      <w:pPr>
        <w:spacing w:after="40"/>
      </w:pPr>
    </w:p>
    <w:p>
      <w:pPr>
        <w:pStyle w:val="Heading2"/>
        <w:keepNext/>
      </w:pPr>
      <w:r>
        <w:t>Current flagship scenarios</w:t>
      </w:r>
    </w:p>
    <w:p>
      <w:pPr>
        <w:spacing w:before="0" w:after="160" w:line="320" w:lineRule="auto"/>
        <w:jc w:val="both"/>
      </w:pPr>
      <w:r>
        <w:rPr>
          <w:rFonts w:ascii="Calibri" w:hAnsi="Calibri"/>
          <w:b w:val="0"/>
          <w:i w:val="0"/>
          <w:color w:val="232B34"/>
          <w:sz w:val="22"/>
        </w:rPr>
        <w:t>The first deep scenarios are ATO-01 and MULE-01 because they exercise two complementary forms of reasoning. Account takeover tests whether the defense understands an individual customer's behavior. Mule-ring cash-out tests whether it understands relationships across many accounts, devices, networks, and beneficiaries. Adaptive evasion becomes meaningful only after the initial defense is mature enough to reveal weaknesses.</w:t>
      </w:r>
    </w:p>
    <w:p>
      <w:r>
        <w:br w:type="page"/>
      </w:r>
    </w:p>
    <w:p>
      <w:pPr>
        <w:pStyle w:val="Heading1"/>
        <w:keepNext/>
      </w:pPr>
      <w:r>
        <w:t>6. Closed-loop defense model</w:t>
      </w:r>
    </w:p>
    <w:p>
      <w:pPr>
        <w:spacing w:before="0" w:after="160" w:line="320" w:lineRule="auto"/>
        <w:jc w:val="both"/>
      </w:pPr>
      <w:r>
        <w:rPr>
          <w:rFonts w:ascii="Calibri" w:hAnsi="Calibri"/>
          <w:b w:val="0"/>
          <w:i w:val="0"/>
          <w:color w:val="232B34"/>
          <w:sz w:val="22"/>
        </w:rPr>
        <w:t>SentinelLoop follows a repeated adversarial cycle. Each round produces not only a detection score, but also evidence about which behaviors were caught, which were missed, and where legitimate customers experienced friction.</w:t>
      </w:r>
    </w:p>
    <w:p>
      <w:pPr>
        <w:spacing w:before="0" w:after="80" w:line="290" w:lineRule="auto"/>
        <w:numPr>
          <w:ilvl w:val="0"/>
          <w:numId w:val="102"/>
        </w:numPr>
      </w:pPr>
      <w:r>
        <w:rPr>
          <w:rFonts w:ascii="Calibri" w:hAnsi="Calibri"/>
          <w:b w:val="0"/>
          <w:i w:val="0"/>
          <w:color w:val="232B34"/>
          <w:sz w:val="22"/>
        </w:rPr>
        <w:t>Select an attack family and campaign difficulty.</w:t>
      </w:r>
    </w:p>
    <w:p>
      <w:pPr>
        <w:spacing w:before="0" w:after="80" w:line="290" w:lineRule="auto"/>
        <w:numPr>
          <w:ilvl w:val="0"/>
          <w:numId w:val="102"/>
        </w:numPr>
      </w:pPr>
      <w:r>
        <w:rPr>
          <w:rFonts w:ascii="Calibri" w:hAnsi="Calibri"/>
          <w:b w:val="0"/>
          <w:i w:val="0"/>
          <w:color w:val="232B34"/>
          <w:sz w:val="22"/>
        </w:rPr>
        <w:t>Generate normal activity, legitimate look-alikes, and the controlled fraud campaign.</w:t>
      </w:r>
    </w:p>
    <w:p>
      <w:pPr>
        <w:spacing w:before="0" w:after="80" w:line="290" w:lineRule="auto"/>
        <w:numPr>
          <w:ilvl w:val="0"/>
          <w:numId w:val="102"/>
        </w:numPr>
      </w:pPr>
      <w:r>
        <w:rPr>
          <w:rFonts w:ascii="Calibri" w:hAnsi="Calibri"/>
          <w:b w:val="0"/>
          <w:i w:val="0"/>
          <w:color w:val="232B34"/>
          <w:sz w:val="22"/>
        </w:rPr>
        <w:t>Stream observable events to the Blue Team while keeping ground truth private.</w:t>
      </w:r>
    </w:p>
    <w:p>
      <w:pPr>
        <w:spacing w:before="0" w:after="80" w:line="290" w:lineRule="auto"/>
        <w:numPr>
          <w:ilvl w:val="0"/>
          <w:numId w:val="102"/>
        </w:numPr>
      </w:pPr>
      <w:r>
        <w:rPr>
          <w:rFonts w:ascii="Calibri" w:hAnsi="Calibri"/>
          <w:b w:val="0"/>
          <w:i w:val="0"/>
          <w:color w:val="232B34"/>
          <w:sz w:val="22"/>
        </w:rPr>
        <w:t>Combine transaction, behavioral, sequence, and network signals into a risk decision.</w:t>
      </w:r>
    </w:p>
    <w:p>
      <w:pPr>
        <w:spacing w:before="0" w:after="80" w:line="290" w:lineRule="auto"/>
        <w:numPr>
          <w:ilvl w:val="0"/>
          <w:numId w:val="102"/>
        </w:numPr>
      </w:pPr>
      <w:r>
        <w:rPr>
          <w:rFonts w:ascii="Calibri" w:hAnsi="Calibri"/>
          <w:b w:val="0"/>
          <w:i w:val="0"/>
          <w:color w:val="232B34"/>
          <w:sz w:val="22"/>
        </w:rPr>
        <w:t>Recommend a proportional action such as allow, monitor, step-up verification, hold, or analyst review.</w:t>
      </w:r>
    </w:p>
    <w:p>
      <w:pPr>
        <w:spacing w:before="0" w:after="80" w:line="290" w:lineRule="auto"/>
        <w:numPr>
          <w:ilvl w:val="0"/>
          <w:numId w:val="102"/>
        </w:numPr>
      </w:pPr>
      <w:r>
        <w:rPr>
          <w:rFonts w:ascii="Calibri" w:hAnsi="Calibri"/>
          <w:b w:val="0"/>
          <w:i w:val="0"/>
          <w:color w:val="232B34"/>
          <w:sz w:val="22"/>
        </w:rPr>
        <w:t>Compare predictions with ground truth and inspect misses and false positives.</w:t>
      </w:r>
    </w:p>
    <w:p>
      <w:pPr>
        <w:spacing w:before="0" w:after="80" w:line="290" w:lineRule="auto"/>
        <w:numPr>
          <w:ilvl w:val="0"/>
          <w:numId w:val="102"/>
        </w:numPr>
      </w:pPr>
      <w:r>
        <w:rPr>
          <w:rFonts w:ascii="Calibri" w:hAnsi="Calibri"/>
          <w:b w:val="0"/>
          <w:i w:val="0"/>
          <w:color w:val="232B34"/>
          <w:sz w:val="22"/>
        </w:rPr>
        <w:t>Use the weakness report to design the next controlled variant.</w:t>
      </w:r>
    </w:p>
    <w:p>
      <w:pPr>
        <w:pStyle w:val="Heading2"/>
        <w:keepNext/>
      </w:pPr>
      <w:r>
        <w:t>Layered Blue Team</w:t>
      </w:r>
    </w:p>
    <w:p>
      <w:pPr>
        <w:spacing w:before="0" w:after="80" w:line="290" w:lineRule="auto"/>
        <w:numPr>
          <w:ilvl w:val="0"/>
          <w:numId w:val="100"/>
        </w:numPr>
      </w:pPr>
      <w:r>
        <w:rPr>
          <w:rFonts w:ascii="Calibri" w:hAnsi="Calibri"/>
          <w:b w:val="0"/>
          <w:i w:val="0"/>
          <w:color w:val="232B34"/>
          <w:sz w:val="22"/>
        </w:rPr>
        <w:t>Behavioral layer: measures deviation from the customer's established pattern.</w:t>
      </w:r>
    </w:p>
    <w:p>
      <w:pPr>
        <w:spacing w:before="0" w:after="80" w:line="290" w:lineRule="auto"/>
        <w:numPr>
          <w:ilvl w:val="0"/>
          <w:numId w:val="100"/>
        </w:numPr>
      </w:pPr>
      <w:r>
        <w:rPr>
          <w:rFonts w:ascii="Calibri" w:hAnsi="Calibri"/>
          <w:b w:val="0"/>
          <w:i w:val="0"/>
          <w:color w:val="232B34"/>
          <w:sz w:val="22"/>
        </w:rPr>
        <w:t>Transaction layer: estimates event-level fraud risk using available point-in-time evidence.</w:t>
      </w:r>
    </w:p>
    <w:p>
      <w:pPr>
        <w:spacing w:before="0" w:after="80" w:line="290" w:lineRule="auto"/>
        <w:numPr>
          <w:ilvl w:val="0"/>
          <w:numId w:val="100"/>
        </w:numPr>
      </w:pPr>
      <w:r>
        <w:rPr>
          <w:rFonts w:ascii="Calibri" w:hAnsi="Calibri"/>
          <w:b w:val="0"/>
          <w:i w:val="0"/>
          <w:color w:val="232B34"/>
          <w:sz w:val="22"/>
        </w:rPr>
        <w:t>Sequence layer: detects suspicious ordering, bursts, and changes in payment cadence.</w:t>
      </w:r>
    </w:p>
    <w:p>
      <w:pPr>
        <w:spacing w:before="0" w:after="80" w:line="290" w:lineRule="auto"/>
        <w:numPr>
          <w:ilvl w:val="0"/>
          <w:numId w:val="100"/>
        </w:numPr>
      </w:pPr>
      <w:r>
        <w:rPr>
          <w:rFonts w:ascii="Calibri" w:hAnsi="Calibri"/>
          <w:b w:val="0"/>
          <w:i w:val="0"/>
          <w:color w:val="232B34"/>
          <w:sz w:val="22"/>
        </w:rPr>
        <w:t>Graph layer: connects senders, beneficiaries, devices, and networks to identify coordinated structures.</w:t>
      </w:r>
    </w:p>
    <w:p>
      <w:pPr>
        <w:spacing w:before="0" w:after="80" w:line="290" w:lineRule="auto"/>
        <w:numPr>
          <w:ilvl w:val="0"/>
          <w:numId w:val="100"/>
        </w:numPr>
      </w:pPr>
      <w:r>
        <w:rPr>
          <w:rFonts w:ascii="Calibri" w:hAnsi="Calibri"/>
          <w:b w:val="0"/>
          <w:i w:val="0"/>
          <w:color w:val="232B34"/>
          <w:sz w:val="22"/>
        </w:rPr>
        <w:t>Policy layer: converts risk and evidence into an operationally proportionate response.</w:t>
      </w:r>
    </w:p>
    <w:p>
      <w:pPr>
        <w:spacing w:before="0" w:after="80" w:line="290" w:lineRule="auto"/>
        <w:numPr>
          <w:ilvl w:val="0"/>
          <w:numId w:val="100"/>
        </w:numPr>
      </w:pPr>
      <w:r>
        <w:rPr>
          <w:rFonts w:ascii="Calibri" w:hAnsi="Calibri"/>
          <w:b w:val="0"/>
          <w:i w:val="0"/>
          <w:color w:val="232B34"/>
          <w:sz w:val="22"/>
        </w:rPr>
        <w:t>Explanation layer: states the strongest reasons so an analyst or customer-protection flow can understand the decision.</w:t>
      </w:r>
    </w:p>
    <w:p>
      <w:pPr>
        <w:pStyle w:val="Heading2"/>
        <w:keepNext/>
      </w:pPr>
      <w:r>
        <w:t>Illustrative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BECEF"/>
            <w:tcMar>
              <w:top w:w="100" w:type="dxa"/>
              <w:start w:w="120" w:type="dxa"/>
              <w:bottom w:w="100" w:type="dxa"/>
              <w:end w:w="120" w:type="dxa"/>
            </w:tcMar>
            <w:vAlign w:val="center"/>
          </w:tcPr>
          <w:p>
            <w:pPr>
              <w:spacing w:after="60" w:line="276" w:lineRule="auto"/>
            </w:pPr>
            <w:r>
              <w:rPr>
                <w:rFonts w:ascii="Calibri" w:hAnsi="Calibri"/>
                <w:b/>
                <w:i w:val="0"/>
                <w:color w:val="B43246"/>
                <w:sz w:val="18"/>
              </w:rPr>
              <w:t xml:space="preserve">HIGH RISK  </w:t>
            </w:r>
            <w:r>
              <w:rPr>
                <w:rFonts w:ascii="Calibri" w:hAnsi="Calibri"/>
                <w:b w:val="0"/>
                <w:i w:val="0"/>
                <w:color w:val="232B34"/>
                <w:sz w:val="20"/>
              </w:rPr>
              <w:t>Previously unseen device; amount materially above customer baseline; beneficiary introduced minutes ago; recipient connected to several suspicious senders. Recommended response: temporary hold, step-up verification, and linked-entity review.</w:t>
            </w:r>
          </w:p>
        </w:tc>
      </w:tr>
    </w:tbl>
    <w:p>
      <w:pPr>
        <w:spacing w:after="40"/>
      </w:pPr>
    </w:p>
    <w:p>
      <w:r>
        <w:br w:type="page"/>
      </w:r>
    </w:p>
    <w:p>
      <w:pPr>
        <w:pStyle w:val="Heading1"/>
        <w:keepNext/>
      </w:pPr>
      <w:r>
        <w:t>7. Current validation stage</w:t>
      </w:r>
    </w:p>
    <w:p>
      <w:pPr>
        <w:spacing w:before="0" w:after="160" w:line="320" w:lineRule="auto"/>
        <w:jc w:val="both"/>
      </w:pPr>
      <w:r>
        <w:rPr>
          <w:rFonts w:ascii="Calibri" w:hAnsi="Calibri"/>
          <w:b w:val="0"/>
          <w:i w:val="0"/>
          <w:color w:val="232B34"/>
          <w:sz w:val="22"/>
        </w:rPr>
        <w:t>The current environment contains 11,200 synthetic payment events, including 1,200 fraudulent events distributed across twelve ATO and mule campaigns. Campaigns include easy, medium, and hard variants, while normal activity includes difficult look-alikes designed to challenge simplistic rules.</w:t>
      </w:r>
    </w:p>
    <w:tbl>
      <w:tblPr>
        <w:tblStyle w:val="TableGrid"/>
        <w:tblW w:type="dxa" w:w="9360"/>
        <w:jc w:val="left"/>
        <w:tblLayout w:type="fixed"/>
        <w:tblLook w:firstColumn="1" w:firstRow="1" w:lastColumn="0" w:lastRow="0" w:noHBand="0" w:noVBand="1" w:val="04A0"/>
        <w:tblInd w:w="120" w:type="dxa"/>
      </w:tblPr>
      <w:tblGrid>
        <w:gridCol w:w="2200"/>
        <w:gridCol w:w="1600"/>
        <w:gridCol w:w="5560"/>
      </w:tblGrid>
      <w:tr>
        <w:trPr>
          <w:tblHeader w:val="true"/>
          <w:cantSplit/>
        </w:trPr>
        <w:tc>
          <w:tcPr>
            <w:tcW w:type="dxa" w:w="22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Measure</w:t>
            </w:r>
          </w:p>
        </w:tc>
        <w:tc>
          <w:tcPr>
            <w:tcW w:type="dxa" w:w="16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Current result</w:t>
            </w:r>
          </w:p>
        </w:tc>
        <w:tc>
          <w:tcPr>
            <w:tcW w:type="dxa" w:w="556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Interpretation</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Precision</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89.1%</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Most alerts are correct, but some legitimate behavior is still flagged.</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Recall</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91.3%</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Most simulated fraud is detected, with meaningful misses remaining.</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F1</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90.2%</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The first defense provides a balanced but preliminary benchmark.</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False-positive rate</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1.64%</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Overall friction appears contained, but aggregate rates hide weak customer segments.</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ATO recall</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85.5%</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Harder account-takeover variants remain a major improvement area.</w:t>
            </w:r>
          </w:p>
        </w:tc>
      </w:tr>
      <w:tr>
        <w:trPr>
          <w:cantSplit/>
        </w:trPr>
        <w:tc>
          <w:tcPr>
            <w:tcW w:type="dxa" w:w="22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Mule recall</w:t>
            </w:r>
          </w:p>
        </w:tc>
        <w:tc>
          <w:tcPr>
            <w:tcW w:type="dxa" w:w="16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95.3%</w:t>
            </w:r>
          </w:p>
        </w:tc>
        <w:tc>
          <w:tcPr>
            <w:tcW w:type="dxa" w:w="55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Connected-entity signals are strong, though harder variants still produce misses.</w:t>
            </w:r>
          </w:p>
        </w:tc>
      </w:tr>
    </w:tbl>
    <w:p>
      <w:pPr>
        <w:spacing w:after="40"/>
      </w:pPr>
    </w:p>
    <w:p>
      <w:pPr>
        <w:pStyle w:val="Heading2"/>
        <w:keepNext/>
      </w:pPr>
      <w:r>
        <w:t>What the aggregate score hides</w:t>
      </w:r>
    </w:p>
    <w:p>
      <w:pPr>
        <w:spacing w:before="0" w:after="160" w:line="320" w:lineRule="auto"/>
        <w:jc w:val="both"/>
      </w:pPr>
      <w:r>
        <w:rPr>
          <w:rFonts w:ascii="Calibri" w:hAnsi="Calibri"/>
          <w:b w:val="0"/>
          <w:i w:val="0"/>
          <w:color w:val="232B34"/>
          <w:sz w:val="22"/>
        </w:rPr>
        <w:t>The most valuable finding is not the headline F1 score. It is the discovery that all tested shared-household cases and half of the travel or new-device cases were incorrectly flagged in the held-out period. This reveals a real design challenge: shared infrastructure and device novelty can be suspicious, but they are not proof of fraud.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100" w:type="dxa"/>
              <w:start w:w="120" w:type="dxa"/>
              <w:bottom w:w="100" w:type="dxa"/>
              <w:end w:w="120" w:type="dxa"/>
            </w:tcMar>
            <w:vAlign w:val="center"/>
          </w:tcPr>
          <w:p>
            <w:pPr>
              <w:spacing w:after="60" w:line="276" w:lineRule="auto"/>
            </w:pPr>
            <w:r>
              <w:rPr>
                <w:rFonts w:ascii="Calibri" w:hAnsi="Calibri"/>
                <w:b/>
                <w:i w:val="0"/>
                <w:color w:val="2E74B5"/>
                <w:sz w:val="18"/>
              </w:rPr>
              <w:t xml:space="preserve">NEXT DEFENSE OBJECTIVE  </w:t>
            </w:r>
            <w:r>
              <w:rPr>
                <w:rFonts w:ascii="Calibri" w:hAnsi="Calibri"/>
                <w:b w:val="0"/>
                <w:i w:val="0"/>
                <w:color w:val="232B34"/>
                <w:sz w:val="20"/>
              </w:rPr>
              <w:t>Reduce false positives for established shared-household and travel behavior while preserving high mule-ring recall. Temporal history and network context should determine whether a pattern is familiar, sudden, isolated, or coordinated.</w:t>
            </w:r>
          </w:p>
        </w:tc>
      </w:tr>
    </w:tbl>
    <w:p>
      <w:pPr>
        <w:spacing w:after="40"/>
      </w:pPr>
    </w:p>
    <w:p>
      <w:pPr>
        <w:spacing w:before="0" w:after="160" w:line="320" w:lineRule="auto"/>
        <w:jc w:val="both"/>
      </w:pPr>
      <w:r>
        <w:rPr>
          <w:rFonts w:ascii="Calibri" w:hAnsi="Calibri"/>
          <w:b w:val="0"/>
          <w:i w:val="0"/>
          <w:color w:val="232B34"/>
          <w:sz w:val="22"/>
        </w:rPr>
        <w:t>These results remain a simulation-stage benchmark, not a real-world efficacy claim. Competition-ready evidence requires additional attack families, full campaign holdouts, broader legitimate controls, calibration, and fidelity comparisons against clearly stated behavioral priors.</w:t>
      </w:r>
    </w:p>
    <w:p>
      <w:r>
        <w:br w:type="page"/>
      </w:r>
    </w:p>
    <w:p>
      <w:pPr>
        <w:pStyle w:val="Heading1"/>
        <w:keepNext/>
      </w:pPr>
      <w:r>
        <w:t>8. Visual prototype and demonstration story</w:t>
      </w:r>
    </w:p>
    <w:p>
      <w:pPr>
        <w:spacing w:before="0" w:after="160" w:line="320" w:lineRule="auto"/>
        <w:jc w:val="both"/>
      </w:pPr>
      <w:r>
        <w:rPr>
          <w:rFonts w:ascii="Calibri" w:hAnsi="Calibri"/>
          <w:b w:val="0"/>
          <w:i w:val="0"/>
          <w:color w:val="232B34"/>
          <w:sz w:val="22"/>
        </w:rPr>
        <w:t>The prototype presents the system as a payment-defense arena rather than a static analytics page. A viewer can understand what the Red Team generated, what the Blue Team caught, and where the defense failed without needing to inspect raw transaction records.</w:t>
      </w:r>
    </w:p>
    <w:p>
      <w:pPr>
        <w:pStyle w:val="Heading2"/>
        <w:keepNext/>
      </w:pPr>
      <w:r>
        <w:t>Current visual views</w:t>
      </w:r>
    </w:p>
    <w:p>
      <w:pPr>
        <w:spacing w:before="0" w:after="80" w:line="290" w:lineRule="auto"/>
        <w:numPr>
          <w:ilvl w:val="0"/>
          <w:numId w:val="100"/>
        </w:numPr>
      </w:pPr>
      <w:r>
        <w:rPr>
          <w:rFonts w:ascii="Calibri" w:hAnsi="Calibri"/>
          <w:b w:val="0"/>
          <w:i w:val="0"/>
          <w:color w:val="232B34"/>
          <w:sz w:val="22"/>
        </w:rPr>
        <w:t>A Red Team → Arena → Blue Team flow that explains who creates attacks, who keeps the truth, and who makes predictions.</w:t>
      </w:r>
    </w:p>
    <w:p>
      <w:pPr>
        <w:spacing w:before="0" w:after="80" w:line="290" w:lineRule="auto"/>
        <w:numPr>
          <w:ilvl w:val="0"/>
          <w:numId w:val="100"/>
        </w:numPr>
      </w:pPr>
      <w:r>
        <w:rPr>
          <w:rFonts w:ascii="Calibri" w:hAnsi="Calibri"/>
          <w:b w:val="0"/>
          <w:i w:val="0"/>
          <w:color w:val="232B34"/>
          <w:sz w:val="22"/>
        </w:rPr>
        <w:t>Headline measures for event volume, precision, recall, and false-positive rate.</w:t>
      </w:r>
    </w:p>
    <w:p>
      <w:pPr>
        <w:spacing w:before="0" w:after="80" w:line="290" w:lineRule="auto"/>
        <w:numPr>
          <w:ilvl w:val="0"/>
          <w:numId w:val="100"/>
        </w:numPr>
      </w:pPr>
      <w:r>
        <w:rPr>
          <w:rFonts w:ascii="Calibri" w:hAnsi="Calibri"/>
          <w:b w:val="0"/>
          <w:i w:val="0"/>
          <w:color w:val="232B34"/>
          <w:sz w:val="22"/>
        </w:rPr>
        <w:t>A payment-stream comparison of legitimate and fraudulent activity over time.</w:t>
      </w:r>
    </w:p>
    <w:p>
      <w:pPr>
        <w:spacing w:before="0" w:after="80" w:line="290" w:lineRule="auto"/>
        <w:numPr>
          <w:ilvl w:val="0"/>
          <w:numId w:val="100"/>
        </w:numPr>
      </w:pPr>
      <w:r>
        <w:rPr>
          <w:rFonts w:ascii="Calibri" w:hAnsi="Calibri"/>
          <w:b w:val="0"/>
          <w:i w:val="0"/>
          <w:color w:val="232B34"/>
          <w:sz w:val="22"/>
        </w:rPr>
        <w:t>Risk-score distribution showing how the Blue Team separates the two classes.</w:t>
      </w:r>
    </w:p>
    <w:p>
      <w:pPr>
        <w:spacing w:before="0" w:after="80" w:line="290" w:lineRule="auto"/>
        <w:numPr>
          <w:ilvl w:val="0"/>
          <w:numId w:val="100"/>
        </w:numPr>
      </w:pPr>
      <w:r>
        <w:rPr>
          <w:rFonts w:ascii="Calibri" w:hAnsi="Calibri"/>
          <w:b w:val="0"/>
          <w:i w:val="0"/>
          <w:color w:val="232B34"/>
          <w:sz w:val="22"/>
        </w:rPr>
        <w:t>Detection results by attack family and customer friction by legitimate profile.</w:t>
      </w:r>
    </w:p>
    <w:p>
      <w:pPr>
        <w:spacing w:before="0" w:after="80" w:line="290" w:lineRule="auto"/>
        <w:numPr>
          <w:ilvl w:val="0"/>
          <w:numId w:val="100"/>
        </w:numPr>
      </w:pPr>
      <w:r>
        <w:rPr>
          <w:rFonts w:ascii="Calibri" w:hAnsi="Calibri"/>
          <w:b w:val="0"/>
          <w:i w:val="0"/>
          <w:color w:val="232B34"/>
          <w:sz w:val="22"/>
        </w:rPr>
        <w:t>A mule-network view connecting sender accounts to concentrated beneficiaries.</w:t>
      </w:r>
    </w:p>
    <w:p>
      <w:pPr>
        <w:spacing w:before="0" w:after="80" w:line="290" w:lineRule="auto"/>
        <w:numPr>
          <w:ilvl w:val="0"/>
          <w:numId w:val="100"/>
        </w:numPr>
      </w:pPr>
      <w:r>
        <w:rPr>
          <w:rFonts w:ascii="Calibri" w:hAnsi="Calibri"/>
          <w:b w:val="0"/>
          <w:i w:val="0"/>
          <w:color w:val="232B34"/>
          <w:sz w:val="22"/>
        </w:rPr>
        <w:t>A campaign library with scenario, difficulty, event count, average amount, and start time.</w:t>
      </w:r>
    </w:p>
    <w:p>
      <w:pPr>
        <w:spacing w:before="0" w:after="80" w:line="290" w:lineRule="auto"/>
        <w:numPr>
          <w:ilvl w:val="0"/>
          <w:numId w:val="100"/>
        </w:numPr>
      </w:pPr>
      <w:r>
        <w:rPr>
          <w:rFonts w:ascii="Calibri" w:hAnsi="Calibri"/>
          <w:b w:val="0"/>
          <w:i w:val="0"/>
          <w:color w:val="232B34"/>
          <w:sz w:val="22"/>
        </w:rPr>
        <w:t>A decision explorer that filters caught fraud, missed fraud, and false positives.</w:t>
      </w:r>
    </w:p>
    <w:p>
      <w:pPr>
        <w:pStyle w:val="Heading2"/>
        <w:keepNext/>
      </w:pPr>
      <w:r>
        <w:t>Target live demonstration</w:t>
      </w:r>
    </w:p>
    <w:p>
      <w:pPr>
        <w:spacing w:before="0" w:after="80" w:line="290" w:lineRule="auto"/>
        <w:numPr>
          <w:ilvl w:val="0"/>
          <w:numId w:val="101"/>
        </w:numPr>
      </w:pPr>
      <w:r>
        <w:rPr>
          <w:rFonts w:ascii="Calibri" w:hAnsi="Calibri"/>
          <w:b w:val="0"/>
          <w:i w:val="0"/>
          <w:color w:val="232B34"/>
          <w:sz w:val="22"/>
        </w:rPr>
        <w:t>Choose an attack scenario and difficulty.</w:t>
      </w:r>
    </w:p>
    <w:p>
      <w:pPr>
        <w:spacing w:before="0" w:after="80" w:line="290" w:lineRule="auto"/>
        <w:numPr>
          <w:ilvl w:val="0"/>
          <w:numId w:val="101"/>
        </w:numPr>
      </w:pPr>
      <w:r>
        <w:rPr>
          <w:rFonts w:ascii="Calibri" w:hAnsi="Calibri"/>
          <w:b w:val="0"/>
          <w:i w:val="0"/>
          <w:color w:val="232B34"/>
          <w:sz w:val="22"/>
        </w:rPr>
        <w:t>Launch a synthetic campaign and watch payments enter the Arena.</w:t>
      </w:r>
    </w:p>
    <w:p>
      <w:pPr>
        <w:spacing w:before="0" w:after="80" w:line="290" w:lineRule="auto"/>
        <w:numPr>
          <w:ilvl w:val="0"/>
          <w:numId w:val="101"/>
        </w:numPr>
      </w:pPr>
      <w:r>
        <w:rPr>
          <w:rFonts w:ascii="Calibri" w:hAnsi="Calibri"/>
          <w:b w:val="0"/>
          <w:i w:val="0"/>
          <w:color w:val="232B34"/>
          <w:sz w:val="22"/>
        </w:rPr>
        <w:t>Observe risk scores, emerging network connections, and Blue Team decisions.</w:t>
      </w:r>
    </w:p>
    <w:p>
      <w:pPr>
        <w:spacing w:before="0" w:after="80" w:line="290" w:lineRule="auto"/>
        <w:numPr>
          <w:ilvl w:val="0"/>
          <w:numId w:val="101"/>
        </w:numPr>
      </w:pPr>
      <w:r>
        <w:rPr>
          <w:rFonts w:ascii="Calibri" w:hAnsi="Calibri"/>
          <w:b w:val="0"/>
          <w:i w:val="0"/>
          <w:color w:val="232B34"/>
          <w:sz w:val="22"/>
        </w:rPr>
        <w:t>Open a high-risk case to review the behavioral and graph evidence.</w:t>
      </w:r>
    </w:p>
    <w:p>
      <w:pPr>
        <w:spacing w:before="0" w:after="80" w:line="290" w:lineRule="auto"/>
        <w:numPr>
          <w:ilvl w:val="0"/>
          <w:numId w:val="101"/>
        </w:numPr>
      </w:pPr>
      <w:r>
        <w:rPr>
          <w:rFonts w:ascii="Calibri" w:hAnsi="Calibri"/>
          <w:b w:val="0"/>
          <w:i w:val="0"/>
          <w:color w:val="232B34"/>
          <w:sz w:val="22"/>
        </w:rPr>
        <w:t>Apply a simulated mitigation such as step-up verification, temporary hold, or linked-entity review.</w:t>
      </w:r>
    </w:p>
    <w:p>
      <w:pPr>
        <w:spacing w:before="0" w:after="80" w:line="290" w:lineRule="auto"/>
        <w:numPr>
          <w:ilvl w:val="0"/>
          <w:numId w:val="101"/>
        </w:numPr>
      </w:pPr>
      <w:r>
        <w:rPr>
          <w:rFonts w:ascii="Calibri" w:hAnsi="Calibri"/>
          <w:b w:val="0"/>
          <w:i w:val="0"/>
          <w:color w:val="232B34"/>
          <w:sz w:val="22"/>
        </w:rPr>
        <w:t>Inspect the misses and customer-friction cases.</w:t>
      </w:r>
    </w:p>
    <w:p>
      <w:pPr>
        <w:spacing w:before="0" w:after="80" w:line="290" w:lineRule="auto"/>
        <w:numPr>
          <w:ilvl w:val="0"/>
          <w:numId w:val="101"/>
        </w:numPr>
      </w:pPr>
      <w:r>
        <w:rPr>
          <w:rFonts w:ascii="Calibri" w:hAnsi="Calibri"/>
          <w:b w:val="0"/>
          <w:i w:val="0"/>
          <w:color w:val="232B34"/>
          <w:sz w:val="22"/>
        </w:rPr>
        <w:t>Generate a harder attack variant and compare defensive performance across rounds.</w:t>
      </w:r>
    </w:p>
    <w:p>
      <w:r>
        <w:br w:type="page"/>
      </w:r>
    </w:p>
    <w:p>
      <w:pPr>
        <w:pStyle w:val="Heading1"/>
        <w:keepNext/>
      </w:pPr>
      <w:r>
        <w:t>9. AI agents at the right stage</w:t>
      </w:r>
    </w:p>
    <w:p>
      <w:pPr>
        <w:spacing w:before="0" w:after="160" w:line="320" w:lineRule="auto"/>
        <w:jc w:val="both"/>
      </w:pPr>
      <w:r>
        <w:rPr>
          <w:rFonts w:ascii="Calibri" w:hAnsi="Calibri"/>
          <w:b w:val="0"/>
          <w:i w:val="0"/>
          <w:color w:val="232B34"/>
          <w:sz w:val="22"/>
        </w:rPr>
        <w:t>AI agents are part of the intended mature system, but they should be introduced only after the simulator, defensive models, evidence contracts, and evaluation process are reliable. Agents should provide genuine reasoning and orchestration rather than acting as decorative wrappers around fixed processes.</w:t>
      </w:r>
    </w:p>
    <w:p>
      <w:pPr>
        <w:pStyle w:val="Heading2"/>
        <w:keepNext/>
      </w:pPr>
      <w:r>
        <w:t>Red-world agents</w:t>
      </w:r>
    </w:p>
    <w:p>
      <w:pPr>
        <w:spacing w:before="0" w:after="80" w:line="290" w:lineRule="auto"/>
        <w:numPr>
          <w:ilvl w:val="0"/>
          <w:numId w:val="100"/>
        </w:numPr>
      </w:pPr>
      <w:r>
        <w:rPr>
          <w:rFonts w:ascii="Calibri" w:hAnsi="Calibri"/>
          <w:b w:val="0"/>
          <w:i w:val="0"/>
          <w:color w:val="232B34"/>
          <w:sz w:val="22"/>
        </w:rPr>
        <w:t>Threat Research Agent: organizes emerging fraud concepts into structured objectives, surfaces, preconditions, GenAI roles, and observable signals.</w:t>
      </w:r>
    </w:p>
    <w:p>
      <w:pPr>
        <w:spacing w:before="0" w:after="80" w:line="290" w:lineRule="auto"/>
        <w:numPr>
          <w:ilvl w:val="0"/>
          <w:numId w:val="100"/>
        </w:numPr>
      </w:pPr>
      <w:r>
        <w:rPr>
          <w:rFonts w:ascii="Calibri" w:hAnsi="Calibri"/>
          <w:b w:val="0"/>
          <w:i w:val="0"/>
          <w:color w:val="232B34"/>
          <w:sz w:val="22"/>
        </w:rPr>
        <w:t>Attack Planning Agent: converts a high-level threat idea into a controlled, machine-readable campaign plan.</w:t>
      </w:r>
    </w:p>
    <w:p>
      <w:pPr>
        <w:spacing w:before="0" w:after="80" w:line="290" w:lineRule="auto"/>
        <w:numPr>
          <w:ilvl w:val="0"/>
          <w:numId w:val="100"/>
        </w:numPr>
      </w:pPr>
      <w:r>
        <w:rPr>
          <w:rFonts w:ascii="Calibri" w:hAnsi="Calibri"/>
          <w:b w:val="0"/>
          <w:i w:val="0"/>
          <w:color w:val="232B34"/>
          <w:sz w:val="22"/>
        </w:rPr>
        <w:t>Fidelity Critic Agent: challenges realism, detects artificial shortcuts, and requires legitimate near-neighbors.</w:t>
      </w:r>
    </w:p>
    <w:p>
      <w:pPr>
        <w:spacing w:before="0" w:after="80" w:line="290" w:lineRule="auto"/>
        <w:numPr>
          <w:ilvl w:val="0"/>
          <w:numId w:val="100"/>
        </w:numPr>
      </w:pPr>
      <w:r>
        <w:rPr>
          <w:rFonts w:ascii="Calibri" w:hAnsi="Calibri"/>
          <w:b w:val="0"/>
          <w:i w:val="0"/>
          <w:color w:val="232B34"/>
          <w:sz w:val="22"/>
        </w:rPr>
        <w:t>Mutation Agent: reviews high-level defensive weaknesses and proposes safer, harder variants within approved boundaries.</w:t>
      </w:r>
    </w:p>
    <w:p>
      <w:pPr>
        <w:pStyle w:val="Heading2"/>
        <w:keepNext/>
      </w:pPr>
      <w:r>
        <w:t>Blue-world agents</w:t>
      </w:r>
    </w:p>
    <w:p>
      <w:pPr>
        <w:spacing w:before="0" w:after="80" w:line="290" w:lineRule="auto"/>
        <w:numPr>
          <w:ilvl w:val="0"/>
          <w:numId w:val="100"/>
        </w:numPr>
      </w:pPr>
      <w:r>
        <w:rPr>
          <w:rFonts w:ascii="Calibri" w:hAnsi="Calibri"/>
          <w:b w:val="0"/>
          <w:i w:val="0"/>
          <w:color w:val="232B34"/>
          <w:sz w:val="22"/>
        </w:rPr>
        <w:t>Investigation Agent: gathers transaction, behavior, sequence, and network evidence into an analyst-style case narrative.</w:t>
      </w:r>
    </w:p>
    <w:p>
      <w:pPr>
        <w:spacing w:before="0" w:after="80" w:line="290" w:lineRule="auto"/>
        <w:numPr>
          <w:ilvl w:val="0"/>
          <w:numId w:val="100"/>
        </w:numPr>
      </w:pPr>
      <w:r>
        <w:rPr>
          <w:rFonts w:ascii="Calibri" w:hAnsi="Calibri"/>
          <w:b w:val="0"/>
          <w:i w:val="0"/>
          <w:color w:val="232B34"/>
          <w:sz w:val="22"/>
        </w:rPr>
        <w:t>Mitigation Agent: recommends a controlled action according to fixed policy limits and explains the trade-off.</w:t>
      </w:r>
    </w:p>
    <w:p>
      <w:pPr>
        <w:spacing w:before="0" w:after="80" w:line="290" w:lineRule="auto"/>
        <w:numPr>
          <w:ilvl w:val="0"/>
          <w:numId w:val="100"/>
        </w:numPr>
      </w:pPr>
      <w:r>
        <w:rPr>
          <w:rFonts w:ascii="Calibri" w:hAnsi="Calibri"/>
          <w:b w:val="0"/>
          <w:i w:val="0"/>
          <w:color w:val="232B34"/>
          <w:sz w:val="22"/>
        </w:rPr>
        <w:t>Learning Agent: summarizes misses, false positives, drift, and segment weaknesses for the next defense round.</w:t>
      </w:r>
    </w:p>
    <w:p>
      <w:pPr>
        <w:pStyle w:val="Heading2"/>
        <w:keepNext/>
      </w:pPr>
      <w:r>
        <w:t>Agent governance</w:t>
      </w:r>
    </w:p>
    <w:p>
      <w:pPr>
        <w:spacing w:before="0" w:after="160" w:line="320" w:lineRule="auto"/>
        <w:jc w:val="both"/>
      </w:pPr>
      <w:r>
        <w:rPr>
          <w:rFonts w:ascii="Calibri" w:hAnsi="Calibri"/>
          <w:b w:val="0"/>
          <w:i w:val="0"/>
          <w:color w:val="232B34"/>
          <w:sz w:val="22"/>
        </w:rPr>
        <w:t>Agents remain inside the synthetic Arena. They receive only the information appropriate to their role, keep an audit trail of reasoning and decisions, and cannot interact with real customers or payment systems. The Red side receives performance feedback rather than sensitive defensive internals. The Blue side does not receive the private ground-truth labels during decisioning.</w:t>
      </w:r>
    </w:p>
    <w:p>
      <w:r>
        <w:br w:type="page"/>
      </w:r>
    </w:p>
    <w:p>
      <w:pPr>
        <w:pStyle w:val="Heading1"/>
        <w:keepNext/>
      </w:pPr>
      <w:r>
        <w:t>10. Development roadmap</w:t>
      </w:r>
    </w:p>
    <w:tbl>
      <w:tblPr>
        <w:tblStyle w:val="TableGrid"/>
        <w:tblW w:type="dxa" w:w="9360"/>
        <w:jc w:val="left"/>
        <w:tblLayout w:type="fixed"/>
        <w:tblLook w:firstColumn="1" w:firstRow="1" w:lastColumn="0" w:lastRow="0" w:noHBand="0" w:noVBand="1" w:val="04A0"/>
        <w:tblInd w:w="120" w:type="dxa"/>
      </w:tblPr>
      <w:tblGrid>
        <w:gridCol w:w="1300"/>
        <w:gridCol w:w="3900"/>
        <w:gridCol w:w="4160"/>
      </w:tblGrid>
      <w:tr>
        <w:trPr>
          <w:tblHeader w:val="true"/>
          <w:cantSplit/>
        </w:trPr>
        <w:tc>
          <w:tcPr>
            <w:tcW w:type="dxa" w:w="13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Stage</w:t>
            </w:r>
          </w:p>
        </w:tc>
        <w:tc>
          <w:tcPr>
            <w:tcW w:type="dxa" w:w="390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Primary objective</w:t>
            </w:r>
          </w:p>
        </w:tc>
        <w:tc>
          <w:tcPr>
            <w:tcW w:type="dxa" w:w="4160"/>
            <w:shd w:fill="E8EEF5"/>
            <w:vAlign w:val="center"/>
            <w:tcMar>
              <w:top w:w="100" w:type="dxa"/>
              <w:start w:w="120" w:type="dxa"/>
              <w:bottom w:w="100" w:type="dxa"/>
              <w:end w:w="120" w:type="dxa"/>
            </w:tcMar>
          </w:tcPr>
          <w:p>
            <w:pPr>
              <w:spacing w:before="0" w:after="0" w:line="264" w:lineRule="auto"/>
              <w:jc w:val="left"/>
            </w:pPr>
            <w:r/>
            <w:r>
              <w:rPr>
                <w:rFonts w:ascii="Calibri" w:hAnsi="Calibri"/>
                <w:b/>
                <w:i w:val="0"/>
                <w:color w:val="0B2545"/>
                <w:sz w:val="18"/>
              </w:rPr>
              <w:t>Evidence of completion</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1. Foundation</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Define the event model, attack taxonomy, roles, safety boundaries, and evaluation measures.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Shared language and a reproducible experiment contract.</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2. Initial Red Team</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Create normal behavior, ATO, mule campaigns, difficulty variants, and legitimate look-alikes.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Multiple campaigns with controlled ambiguity and private truth.</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3. Blue Team baseline</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Establish point-in-time behavioral detection and transparent metrics.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Measured precision, recall, false positives, and attack-family results.</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4. Blue Team v2</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Add temporal and graph context to reduce household and travel false positives.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Lower segment friction while preserving mule and ATO detection.</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5. Attack expansion</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Add card testing, authorized scams, and selected merchant or identity scenarios.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Coverage across more rails, journeys, and defensive techniques.</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6. Closed-loop evolution</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Create controlled adaptive variants from observed weaknesses.</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Before-and-after defense results across attack generations.</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7. Agent layer</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Introduce governed Red and Blue agents for planning, critique, investigation, and learning.</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Auditable agent decisions grounded in approved tools and evidence.</w:t>
            </w:r>
          </w:p>
        </w:tc>
      </w:tr>
      <w:tr>
        <w:trPr>
          <w:cantSplit/>
        </w:trPr>
        <w:tc>
          <w:tcPr>
            <w:tcW w:type="dxa" w:w="13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8. Submission readiness</w:t>
            </w:r>
          </w:p>
        </w:tc>
        <w:tc>
          <w:tcPr>
            <w:tcW w:type="dxa" w:w="390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Polish the live story, feasibility, evaluation, safety narrative, and presentation.</w:t>
            </w:r>
          </w:p>
        </w:tc>
        <w:tc>
          <w:tcPr>
            <w:tcW w:type="dxa" w:w="4160"/>
            <w:vAlign w:val="center"/>
            <w:tcMar>
              <w:top w:w="100" w:type="dxa"/>
              <w:start w:w="120" w:type="dxa"/>
              <w:bottom w:w="100" w:type="dxa"/>
              <w:end w:w="120" w:type="dxa"/>
            </w:tcMar>
          </w:tcPr>
          <w:p>
            <w:pPr>
              <w:spacing w:before="0" w:after="0" w:line="264" w:lineRule="auto"/>
              <w:jc w:val="left"/>
            </w:pPr>
            <w:r/>
            <w:r>
              <w:rPr>
                <w:rFonts w:ascii="Calibri" w:hAnsi="Calibri"/>
                <w:b w:val="0"/>
                <w:i w:val="0"/>
                <w:color w:val="232B34"/>
                <w:sz w:val="18"/>
              </w:rPr>
              <w:t>A coherent end-to-end demonstration aligned to judging criteria.</w:t>
            </w:r>
          </w:p>
        </w:tc>
      </w:tr>
    </w:tbl>
    <w:p>
      <w:pPr>
        <w:spacing w:after="40"/>
      </w:pPr>
    </w:p>
    <w:p>
      <w:pPr>
        <w:pStyle w:val="Heading2"/>
        <w:keepNext/>
      </w:pPr>
      <w:r>
        <w:t>Immediate next milestone</w:t>
      </w:r>
    </w:p>
    <w:p>
      <w:pPr>
        <w:spacing w:before="0" w:after="160" w:line="320" w:lineRule="auto"/>
        <w:jc w:val="both"/>
      </w:pPr>
      <w:r>
        <w:rPr>
          <w:rFonts w:ascii="Calibri" w:hAnsi="Calibri"/>
          <w:b w:val="0"/>
          <w:i w:val="0"/>
          <w:color w:val="232B34"/>
          <w:sz w:val="22"/>
        </w:rPr>
        <w:t>The immediate priority is Blue Team v2. It should introduce time-window and graph features that distinguish an established household pattern from a suddenly coordinated mule network. Success means sharply reducing false positives for shared devices and legitimate travel while maintaining strong detection of connected fraud.</w:t>
      </w:r>
    </w:p>
    <w:p>
      <w:pPr>
        <w:pStyle w:val="Heading1"/>
        <w:keepNext/>
      </w:pPr>
      <w:r>
        <w:t>11. Evaluation and judging alignment</w:t>
      </w:r>
    </w:p>
    <w:p>
      <w:pPr>
        <w:spacing w:before="0" w:after="80" w:line="290" w:lineRule="auto"/>
        <w:numPr>
          <w:ilvl w:val="0"/>
          <w:numId w:val="100"/>
        </w:numPr>
      </w:pPr>
      <w:r>
        <w:rPr>
          <w:rFonts w:ascii="Calibri" w:hAnsi="Calibri"/>
          <w:b w:val="0"/>
          <w:i w:val="0"/>
          <w:color w:val="232B34"/>
          <w:sz w:val="22"/>
        </w:rPr>
        <w:t>Attack diversity: count distinct families, variants, rails, channels, entities, and difficulty levels, while demonstrating depth for the flagship scenarios.</w:t>
      </w:r>
    </w:p>
    <w:p>
      <w:pPr>
        <w:spacing w:before="0" w:after="80" w:line="290" w:lineRule="auto"/>
        <w:numPr>
          <w:ilvl w:val="0"/>
          <w:numId w:val="100"/>
        </w:numPr>
      </w:pPr>
      <w:r>
        <w:rPr>
          <w:rFonts w:ascii="Calibri" w:hAnsi="Calibri"/>
          <w:b w:val="0"/>
          <w:i w:val="0"/>
          <w:color w:val="232B34"/>
          <w:sz w:val="22"/>
        </w:rPr>
        <w:t>Simulation fidelity: compare normal and fraudulent distributions, include realistic edge cases, and document the assumptions behind every campaign.</w:t>
      </w:r>
    </w:p>
    <w:p>
      <w:pPr>
        <w:spacing w:before="0" w:after="80" w:line="290" w:lineRule="auto"/>
        <w:numPr>
          <w:ilvl w:val="0"/>
          <w:numId w:val="100"/>
        </w:numPr>
      </w:pPr>
      <w:r>
        <w:rPr>
          <w:rFonts w:ascii="Calibri" w:hAnsi="Calibri"/>
          <w:b w:val="0"/>
          <w:i w:val="0"/>
          <w:color w:val="232B34"/>
          <w:sz w:val="22"/>
        </w:rPr>
        <w:t>Detection efficacy: report precision, recall, F1, PR-AUC, false-positive rate, attack-family recall, and fraud value prevented under stated policy assumptions.</w:t>
      </w:r>
    </w:p>
    <w:p>
      <w:pPr>
        <w:spacing w:before="0" w:after="80" w:line="290" w:lineRule="auto"/>
        <w:numPr>
          <w:ilvl w:val="0"/>
          <w:numId w:val="100"/>
        </w:numPr>
      </w:pPr>
      <w:r>
        <w:rPr>
          <w:rFonts w:ascii="Calibri" w:hAnsi="Calibri"/>
          <w:b w:val="0"/>
          <w:i w:val="0"/>
          <w:color w:val="232B34"/>
          <w:sz w:val="22"/>
        </w:rPr>
        <w:t>Novelty: demonstrate closed-loop attack evolution, grounded explanations, and governed AI agents on both sides of the Arena.</w:t>
      </w:r>
    </w:p>
    <w:p>
      <w:pPr>
        <w:spacing w:before="0" w:after="80" w:line="290" w:lineRule="auto"/>
        <w:numPr>
          <w:ilvl w:val="0"/>
          <w:numId w:val="100"/>
        </w:numPr>
      </w:pPr>
      <w:r>
        <w:rPr>
          <w:rFonts w:ascii="Calibri" w:hAnsi="Calibri"/>
          <w:b w:val="0"/>
          <w:i w:val="0"/>
          <w:color w:val="232B34"/>
          <w:sz w:val="22"/>
        </w:rPr>
        <w:t>Real-world feasibility: separate inline risk decisions from near-real-time graph enrichment and offline learning; show proportional mitigation rather than blanket blocking.</w:t>
      </w:r>
    </w:p>
    <w:p>
      <w:pPr>
        <w:pStyle w:val="Heading1"/>
        <w:keepNext/>
      </w:pPr>
      <w:r>
        <w:t>12. Safety and responsible scope</w:t>
      </w:r>
    </w:p>
    <w:p>
      <w:pPr>
        <w:spacing w:before="0" w:after="160" w:line="320" w:lineRule="auto"/>
        <w:jc w:val="both"/>
      </w:pPr>
      <w:r>
        <w:rPr>
          <w:rFonts w:ascii="Calibri" w:hAnsi="Calibri"/>
          <w:b w:val="0"/>
          <w:i w:val="0"/>
          <w:color w:val="232B34"/>
          <w:sz w:val="22"/>
        </w:rPr>
        <w:t>SentinelLoop is designed as a defensive research environment. It uses fictional identities and synthetic payments, does not send deceptive communications, does not store authentic financial identifiers, does not execute transactions, and does not provide operational instructions for committing fraud. Its value is to translate high-level threats into measurable defensive behavior while preserving clear safety boundaries.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F5F2"/>
            <w:tcMar>
              <w:top w:w="100" w:type="dxa"/>
              <w:start w:w="120" w:type="dxa"/>
              <w:bottom w:w="100" w:type="dxa"/>
              <w:end w:w="120" w:type="dxa"/>
            </w:tcMar>
            <w:vAlign w:val="center"/>
          </w:tcPr>
          <w:p>
            <w:pPr>
              <w:spacing w:after="60" w:line="276" w:lineRule="auto"/>
            </w:pPr>
            <w:r>
              <w:rPr>
                <w:rFonts w:ascii="Calibri" w:hAnsi="Calibri"/>
                <w:b/>
                <w:i w:val="0"/>
                <w:color w:val="009688"/>
                <w:sz w:val="18"/>
              </w:rPr>
              <w:t xml:space="preserve">FINAL VISION  </w:t>
            </w:r>
            <w:r>
              <w:rPr>
                <w:rFonts w:ascii="Calibri" w:hAnsi="Calibri"/>
                <w:b w:val="0"/>
                <w:i w:val="0"/>
                <w:color w:val="232B34"/>
                <w:sz w:val="20"/>
              </w:rPr>
              <w:t>A governed AI-versus-AI payment-security Arena in which diverse synthetic attacks become the training ground for a more accurate, explainable, and operationally realistic defense.</w:t>
            </w:r>
          </w:p>
        </w:tc>
      </w:tr>
    </w:tbl>
    <w:p>
      <w:pPr>
        <w:spacing w:after="40"/>
      </w:pPr>
    </w:p>
    <w:p>
      <w:pPr>
        <w:pStyle w:val="Heading1"/>
        <w:keepNext/>
      </w:pPr>
      <w:r>
        <w:t>Glossary</w:t>
      </w:r>
    </w:p>
    <w:p>
      <w:pPr>
        <w:spacing w:before="0" w:after="160" w:line="320" w:lineRule="auto"/>
        <w:jc w:val="left"/>
      </w:pPr>
      <w:r>
        <w:rPr>
          <w:rFonts w:ascii="Calibri" w:hAnsi="Calibri"/>
          <w:b/>
          <w:i w:val="0"/>
          <w:color w:val="0B2545"/>
          <w:sz w:val="22"/>
        </w:rPr>
        <w:t xml:space="preserve">Account takeover (ATO). </w:t>
      </w:r>
      <w:r>
        <w:rPr>
          <w:rFonts w:ascii="Calibri" w:hAnsi="Calibri"/>
          <w:b w:val="0"/>
          <w:i w:val="0"/>
          <w:color w:val="232B34"/>
          <w:sz w:val="22"/>
        </w:rPr>
        <w:t>Unauthorized control or misuse of an existing customer account.</w:t>
      </w:r>
    </w:p>
    <w:p>
      <w:pPr>
        <w:spacing w:before="0" w:after="160" w:line="320" w:lineRule="auto"/>
        <w:jc w:val="left"/>
      </w:pPr>
      <w:r>
        <w:rPr>
          <w:rFonts w:ascii="Calibri" w:hAnsi="Calibri"/>
          <w:b/>
          <w:i w:val="0"/>
          <w:color w:val="0B2545"/>
          <w:sz w:val="22"/>
        </w:rPr>
        <w:t xml:space="preserve">Attack family. </w:t>
      </w:r>
      <w:r>
        <w:rPr>
          <w:rFonts w:ascii="Calibri" w:hAnsi="Calibri"/>
          <w:b w:val="0"/>
          <w:i w:val="0"/>
          <w:color w:val="232B34"/>
          <w:sz w:val="22"/>
        </w:rPr>
        <w:t>A reusable category describing the type of simulated fraud.</w:t>
      </w:r>
    </w:p>
    <w:p>
      <w:pPr>
        <w:spacing w:before="0" w:after="160" w:line="320" w:lineRule="auto"/>
        <w:jc w:val="left"/>
      </w:pPr>
      <w:r>
        <w:rPr>
          <w:rFonts w:ascii="Calibri" w:hAnsi="Calibri"/>
          <w:b/>
          <w:i w:val="0"/>
          <w:color w:val="0B2545"/>
          <w:sz w:val="22"/>
        </w:rPr>
        <w:t xml:space="preserve">Campaign. </w:t>
      </w:r>
      <w:r>
        <w:rPr>
          <w:rFonts w:ascii="Calibri" w:hAnsi="Calibri"/>
          <w:b w:val="0"/>
          <w:i w:val="0"/>
          <w:color w:val="232B34"/>
          <w:sz w:val="22"/>
        </w:rPr>
        <w:t>A specific group of related synthetic attack events with a shared objective and configuration.</w:t>
      </w:r>
    </w:p>
    <w:p>
      <w:pPr>
        <w:spacing w:before="0" w:after="160" w:line="320" w:lineRule="auto"/>
        <w:jc w:val="left"/>
      </w:pPr>
      <w:r>
        <w:rPr>
          <w:rFonts w:ascii="Calibri" w:hAnsi="Calibri"/>
          <w:b/>
          <w:i w:val="0"/>
          <w:color w:val="0B2545"/>
          <w:sz w:val="22"/>
        </w:rPr>
        <w:t xml:space="preserve">False positive. </w:t>
      </w:r>
      <w:r>
        <w:rPr>
          <w:rFonts w:ascii="Calibri" w:hAnsi="Calibri"/>
          <w:b w:val="0"/>
          <w:i w:val="0"/>
          <w:color w:val="232B34"/>
          <w:sz w:val="22"/>
        </w:rPr>
        <w:t>A legitimate payment incorrectly predicted as fraud.</w:t>
      </w:r>
    </w:p>
    <w:p>
      <w:pPr>
        <w:spacing w:before="0" w:after="160" w:line="320" w:lineRule="auto"/>
        <w:jc w:val="left"/>
      </w:pPr>
      <w:r>
        <w:rPr>
          <w:rFonts w:ascii="Calibri" w:hAnsi="Calibri"/>
          <w:b/>
          <w:i w:val="0"/>
          <w:color w:val="0B2545"/>
          <w:sz w:val="22"/>
        </w:rPr>
        <w:t xml:space="preserve">Ground truth. </w:t>
      </w:r>
      <w:r>
        <w:rPr>
          <w:rFonts w:ascii="Calibri" w:hAnsi="Calibri"/>
          <w:b w:val="0"/>
          <w:i w:val="0"/>
          <w:color w:val="232B34"/>
          <w:sz w:val="22"/>
        </w:rPr>
        <w:t>The private correct label known to the Arena for training and evaluation.</w:t>
      </w:r>
    </w:p>
    <w:p>
      <w:pPr>
        <w:spacing w:before="0" w:after="160" w:line="320" w:lineRule="auto"/>
        <w:jc w:val="left"/>
      </w:pPr>
      <w:r>
        <w:rPr>
          <w:rFonts w:ascii="Calibri" w:hAnsi="Calibri"/>
          <w:b/>
          <w:i w:val="0"/>
          <w:color w:val="0B2545"/>
          <w:sz w:val="22"/>
        </w:rPr>
        <w:t xml:space="preserve">Mule account. </w:t>
      </w:r>
      <w:r>
        <w:rPr>
          <w:rFonts w:ascii="Calibri" w:hAnsi="Calibri"/>
          <w:b w:val="0"/>
          <w:i w:val="0"/>
          <w:color w:val="232B34"/>
          <w:sz w:val="22"/>
        </w:rPr>
        <w:t>A recipient account used within the synthetic scenario to receive or route fraudulent value.</w:t>
      </w:r>
    </w:p>
    <w:p>
      <w:pPr>
        <w:spacing w:before="0" w:after="160" w:line="320" w:lineRule="auto"/>
        <w:jc w:val="left"/>
      </w:pPr>
      <w:r>
        <w:rPr>
          <w:rFonts w:ascii="Calibri" w:hAnsi="Calibri"/>
          <w:b/>
          <w:i w:val="0"/>
          <w:color w:val="0B2545"/>
          <w:sz w:val="22"/>
        </w:rPr>
        <w:t xml:space="preserve">Precision. </w:t>
      </w:r>
      <w:r>
        <w:rPr>
          <w:rFonts w:ascii="Calibri" w:hAnsi="Calibri"/>
          <w:b w:val="0"/>
          <w:i w:val="0"/>
          <w:color w:val="232B34"/>
          <w:sz w:val="22"/>
        </w:rPr>
        <w:t>The share of fraud alerts that are actually fraudulent in the synthetic evaluation.</w:t>
      </w:r>
    </w:p>
    <w:p>
      <w:pPr>
        <w:spacing w:before="0" w:after="160" w:line="320" w:lineRule="auto"/>
        <w:jc w:val="left"/>
      </w:pPr>
      <w:r>
        <w:rPr>
          <w:rFonts w:ascii="Calibri" w:hAnsi="Calibri"/>
          <w:b/>
          <w:i w:val="0"/>
          <w:color w:val="0B2545"/>
          <w:sz w:val="22"/>
        </w:rPr>
        <w:t xml:space="preserve">Recall. </w:t>
      </w:r>
      <w:r>
        <w:rPr>
          <w:rFonts w:ascii="Calibri" w:hAnsi="Calibri"/>
          <w:b w:val="0"/>
          <w:i w:val="0"/>
          <w:color w:val="232B34"/>
          <w:sz w:val="22"/>
        </w:rPr>
        <w:t>The share of synthetic fraud events successfully detected.</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b w:val="0"/>
        <w:i w:val="0"/>
        <w:color w:val="5E6C7A"/>
        <w:sz w:val="17"/>
      </w:rPr>
      <w:t xml:space="preserve">SOLUTION BLUEPRINT  |  </w:t>
    </w:r>
    <w:r>
      <w:rPr>
        <w:rFonts w:ascii="Calibri" w:hAnsi="Calibri"/>
        <w:b w:val="0"/>
        <w:i w:val="0"/>
        <w:color w:val="5E6C7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b w:val="0"/>
        <w:i w:val="0"/>
        <w:color w:val="5E6C7A"/>
        <w:sz w:val="17"/>
      </w:rPr>
      <w:t xml:space="preserve">SOLUTION BLUEPRINT  |  </w:t>
    </w:r>
    <w:r>
      <w:rPr>
        <w:rFonts w:ascii="Calibri" w:hAnsi="Calibri"/>
        <w:b w:val="0"/>
        <w:i w:val="0"/>
        <w:color w:val="5E6C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i w:val="0"/>
        <w:color w:val="5E6C7A"/>
        <w:sz w:val="17"/>
      </w:rPr>
      <w:t>SENTINELLOOP  |  AI DEFENSE LAB FOR PAYMENT 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i w:val="0"/>
        <w:color w:val="5E6C7A"/>
        <w:sz w:val="17"/>
      </w:rPr>
      <w:t>SENTINELLOOP  |  AI DEFENSE LAB FOR PAYMENT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80"/>
      </w:pPr>
      <w:rPr>
        <w:rFonts w:ascii="Arial" w:hAnsi="Arial"/>
      </w:rPr>
    </w:lvl>
  </w:abstractNum>
  <w:num w:numId="100">
    <w:abstractNumId w:val="100"/>
  </w:num>
  <w:abstractNum w:abstractNumId="101">
    <w:multiLevelType w:val="singleLevel"/>
    <w:lvl w:ilvl="0">
      <w:start w:val="1"/>
      <w:numFmt w:val="decimal"/>
      <w:lvlText w:val="%1."/>
      <w:lvlJc w:val="left"/>
      <w:pPr>
        <w:tabs>
          <w:tab w:val="num" w:pos="540"/>
        </w:tabs>
        <w:ind w:left="540" w:hanging="280"/>
      </w:pPr>
    </w:lvl>
  </w:abstractNum>
  <w:num w:numId="101">
    <w:abstractNumId w:val="101"/>
  </w:num>
  <w:abstractNum w:abstractNumId="102">
    <w:multiLevelType w:val="singleLevel"/>
    <w:lvl w:ilvl="0">
      <w:start w:val="1"/>
      <w:numFmt w:val="decimal"/>
      <w:lvlText w:val="%1."/>
      <w:lvlJc w:val="left"/>
      <w:pPr>
        <w:tabs>
          <w:tab w:val="num" w:pos="540"/>
        </w:tabs>
        <w:ind w:left="540" w:hanging="280"/>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SentinelLoop - AI Defense Lab for Payment Security</dc:title>
  <dc:subject>Hackathon solution concept and development blueprint</dc:subject>
  <dc:creator>SentinelLoop Team</dc:creator>
  <cp:keywords>payment security, adversarial AI, synthetic fraud, red team, blue team</cp:keywords>
  <dc:description>generated by python-docx</dc:description>
  <cp:lastModifiedBy/>
  <cp:revision>1</cp:revision>
  <dcterms:created xsi:type="dcterms:W3CDTF">2013-12-23T23:15:00Z</dcterms:created>
  <dcterms:modified xsi:type="dcterms:W3CDTF">2013-12-23T23:15:00Z</dcterms:modified>
  <cp:category/>
</cp:coreProperties>
</file>