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52C3315D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DC7738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202121030188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0487F9CC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 w:rsidR="008D2BB9" w:rsidRPr="008D2BB9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7A36E91E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DC773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无人机辅助的车联网络任务卸载与资源分配的研究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3149EA7B" w14:textId="77777777" w:rsidR="008D2BB9" w:rsidRPr="008D2BB9" w:rsidRDefault="008D2BB9" w:rsidP="008D2BB9">
            <w:pPr>
              <w:spacing w:line="360" w:lineRule="exact"/>
              <w:ind w:firstLineChars="200" w:firstLine="48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选题具有较强的理论和应用价值。论文条例清晰，行文流畅；内容丰富，结果创新性较强。满足学位论文水平要求。</w:t>
            </w:r>
          </w:p>
          <w:p w14:paraId="7BB53936" w14:textId="77777777" w:rsidR="008D2BB9" w:rsidRPr="008D2BB9" w:rsidRDefault="008D2BB9" w:rsidP="008D2BB9">
            <w:pPr>
              <w:spacing w:line="360" w:lineRule="exact"/>
              <w:ind w:firstLineChars="200" w:firstLine="48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以下是几点建议：</w:t>
            </w:r>
          </w:p>
          <w:p w14:paraId="116E32D4" w14:textId="23EB0A66" w:rsidR="001714AD" w:rsidRPr="008D2BB9" w:rsidRDefault="008D2BB9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摘要第9行：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车联网</w:t>
            </w:r>
            <w:r w:rsidRPr="008D2BB9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有了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可能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sym w:font="Wingdings" w:char="F0E0"/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车联网</w:t>
            </w:r>
            <w:r w:rsidRPr="008D2BB9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成为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可能</w:t>
            </w:r>
          </w:p>
          <w:p w14:paraId="4B9239B9" w14:textId="6D2834D9" w:rsidR="008D2BB9" w:rsidRDefault="008D2BB9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摘要第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2段末句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“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所提算法具有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……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是有效的。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”语义不通</w:t>
            </w:r>
          </w:p>
          <w:p w14:paraId="6B4A5004" w14:textId="41432A21" w:rsidR="008D2BB9" w:rsidRDefault="008D2BB9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摘要第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3段首行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&amp;P2第6行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“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MEC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”英文缩写首次出现时，应注明中文名称及全称</w:t>
            </w:r>
          </w:p>
          <w:p w14:paraId="79220B4B" w14:textId="21885DBD" w:rsidR="008D2BB9" w:rsidRPr="008D2BB9" w:rsidRDefault="008D2BB9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摘要第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3段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第3行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优化</w:t>
            </w:r>
            <w:proofErr w:type="gramStart"/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问题</w:t>
            </w:r>
            <w:r w:rsidRPr="008D2BB9">
              <w:rPr>
                <w:rFonts w:ascii="宋体" w:eastAsia="宋体" w:hAnsi="宋体" w:cs="Times New Roman" w:hint="eastAsia"/>
                <w:strike/>
                <w:color w:val="FF0000"/>
                <w:sz w:val="24"/>
                <w:szCs w:val="24"/>
              </w:rPr>
              <w:t>问题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sym w:font="Wingdings" w:char="F0E0"/>
            </w: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优化问题</w:t>
            </w:r>
          </w:p>
          <w:p w14:paraId="77D76720" w14:textId="1AF4F586" w:rsidR="008D2BB9" w:rsidRDefault="008D2BB9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中英文摘要最后的分类号不一致</w:t>
            </w:r>
          </w:p>
          <w:p w14:paraId="46270BDF" w14:textId="03B00B61" w:rsidR="008D2BB9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P2第1.2节最后一句：“一些研究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……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”应当有文献支撑，建议补充相关文献</w:t>
            </w:r>
          </w:p>
          <w:p w14:paraId="11D986D2" w14:textId="596DFC00" w:rsidR="004C27CA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P3第3行：绪论部分尽量减少使用数学公式，建议改用文字描述解释相关概念</w:t>
            </w:r>
          </w:p>
          <w:p w14:paraId="471C89BC" w14:textId="2D17923B" w:rsidR="004C27CA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P10公式(2-7)：解释</w:t>
            </w:r>
            <w:proofErr w:type="spell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</w:t>
            </w:r>
            <w:proofErr w:type="spell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{.}的意义</w:t>
            </w:r>
          </w:p>
          <w:p w14:paraId="5DD02780" w14:textId="12DDDB39" w:rsidR="004C27CA" w:rsidRDefault="004C27CA" w:rsidP="00676E2F">
            <w:pPr>
              <w:pStyle w:val="a8"/>
              <w:widowControl/>
              <w:numPr>
                <w:ilvl w:val="0"/>
                <w:numId w:val="1"/>
              </w:numPr>
              <w:spacing w:line="360" w:lineRule="exact"/>
              <w:ind w:firstLineChars="0"/>
            </w:pPr>
            <w:r w:rsidRPr="004C27CA">
              <w:rPr>
                <w:rFonts w:ascii="宋体" w:eastAsia="宋体" w:hAnsi="宋体" w:cs="Times New Roman" w:hint="eastAsia"/>
                <w:sz w:val="24"/>
                <w:szCs w:val="24"/>
              </w:rPr>
              <w:t>P10第2段第3行：</w:t>
            </w:r>
            <w:r>
              <w:rPr>
                <w:rStyle w:val="fontstyle01"/>
                <w:rFonts w:hint="default"/>
              </w:rPr>
              <w:t>根据詹森不等式</w:t>
            </w:r>
            <w:r w:rsidRPr="004C27CA">
              <w:rPr>
                <w:rStyle w:val="fontstyle01"/>
                <w:rFonts w:hint="default"/>
                <w:color w:val="FF0000"/>
              </w:rPr>
              <w:t>认为</w:t>
            </w:r>
            <w:r>
              <w:rPr>
                <w:rStyle w:val="fontstyle01"/>
                <w:rFonts w:hint="default"/>
              </w:rPr>
              <w:t xml:space="preserve"> 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hint="default"/>
              </w:rPr>
              <w:t>根据詹森不等式</w:t>
            </w:r>
            <w:r w:rsidRPr="004C27CA">
              <w:rPr>
                <w:rStyle w:val="fontstyle01"/>
                <w:color w:val="FF0000"/>
              </w:rPr>
              <w:t>可知</w:t>
            </w:r>
          </w:p>
          <w:p w14:paraId="639BFFDB" w14:textId="00C151CC" w:rsidR="004C27CA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P13存在性条件：建议补充说明该条件为充分条件或是必要条件；是否由文献[36]给出？若是，则可以直接引用文献，而无需证明</w:t>
            </w:r>
          </w:p>
          <w:p w14:paraId="237B8F84" w14:textId="3F31828E" w:rsidR="004C27CA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P15算法2-1</w:t>
            </w:r>
            <w:r>
              <w:t xml:space="preserve"> </w:t>
            </w:r>
            <w:r w:rsidRPr="004C27CA">
              <w:rPr>
                <w:rFonts w:ascii="宋体" w:eastAsia="宋体" w:hAnsi="宋体" w:cs="Times New Roman"/>
                <w:sz w:val="24"/>
                <w:szCs w:val="24"/>
              </w:rPr>
              <w:t>Step11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：请补充算法结束的条件</w:t>
            </w:r>
          </w:p>
          <w:p w14:paraId="1CA69F14" w14:textId="3C491668" w:rsidR="004C27CA" w:rsidRDefault="004C27CA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P23第</w:t>
            </w:r>
            <w:r w:rsidRPr="004C27CA">
              <w:rPr>
                <w:rFonts w:ascii="宋体" w:eastAsia="宋体" w:hAnsi="宋体" w:cs="Times New Roman"/>
                <w:sz w:val="24"/>
                <w:szCs w:val="24"/>
              </w:rPr>
              <w:t>3.2.2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小节第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一段：文献[49][50][20]请使用上角标标注引用</w:t>
            </w:r>
          </w:p>
          <w:p w14:paraId="5F967553" w14:textId="50F2A17E" w:rsidR="004C27CA" w:rsidRPr="003B7620" w:rsidRDefault="003B7620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P24公式</w:t>
            </w:r>
            <w:r w:rsidRPr="003B7620">
              <w:rPr>
                <w:rFonts w:ascii="宋体" w:eastAsia="宋体" w:hAnsi="宋体" w:cs="Times New Roman"/>
                <w:sz w:val="24"/>
                <w:szCs w:val="24"/>
              </w:rPr>
              <w:t>(3-11-4)</w:t>
            </w:r>
            <w:r w:rsidRPr="003B7620">
              <w:rPr>
                <w:rFonts w:ascii="Cambria Math" w:eastAsia="宋体" w:hAnsi="Cambria Math" w:cs="Cambria Math" w:hint="eastAsia"/>
                <w:sz w:val="24"/>
                <w:szCs w:val="24"/>
              </w:rPr>
              <w:t>：</w:t>
            </w:r>
            <w:r w:rsidRPr="003B7620">
              <w:rPr>
                <w:rFonts w:ascii="Cambria Math" w:eastAsia="宋体" w:hAnsi="Cambria Math" w:cs="Cambria Math" w:hint="eastAsia"/>
                <w:color w:val="FF0000"/>
                <w:sz w:val="24"/>
                <w:szCs w:val="24"/>
              </w:rPr>
              <w:t>0</w:t>
            </w:r>
            <w:r w:rsidRPr="003B7620">
              <w:rPr>
                <w:rFonts w:ascii="Cambria Math" w:eastAsia="宋体" w:hAnsi="Cambria Math" w:cs="Cambria Math" w:hint="eastAsia"/>
                <w:sz w:val="24"/>
                <w:szCs w:val="24"/>
              </w:rPr>
              <w:t xml:space="preserve"> </w:t>
            </w:r>
            <w:r w:rsidRPr="003B7620">
              <w:rPr>
                <w:rFonts w:ascii="宋体" w:eastAsia="宋体" w:hAnsi="宋体" w:cs="Times New Roman" w:hint="eastAsia"/>
                <w:sz w:val="24"/>
                <w:szCs w:val="24"/>
              </w:rPr>
              <w:t>≤</w:t>
            </w:r>
            <w:r w:rsidRPr="003B7620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3B7620">
              <w:rPr>
                <w:rFonts w:ascii="Cambria Math" w:eastAsia="宋体" w:hAnsi="Cambria Math" w:cs="Cambria Math"/>
                <w:sz w:val="24"/>
                <w:szCs w:val="24"/>
              </w:rPr>
              <w:t>𝑝𝑖</w:t>
            </w:r>
            <w:r w:rsidRPr="003B7620">
              <w:rPr>
                <w:rFonts w:ascii="宋体" w:eastAsia="宋体" w:hAnsi="宋体" w:cs="Times New Roman"/>
                <w:sz w:val="24"/>
                <w:szCs w:val="24"/>
              </w:rPr>
              <w:t xml:space="preserve"> ≤ </w:t>
            </w:r>
            <w:r w:rsidRPr="003B7620">
              <w:rPr>
                <w:rFonts w:ascii="Cambria Math" w:eastAsia="宋体" w:hAnsi="Cambria Math" w:cs="Cambria Math"/>
                <w:sz w:val="24"/>
                <w:szCs w:val="24"/>
              </w:rPr>
              <w:t>𝑝𝑚𝑎𝑥</w:t>
            </w:r>
          </w:p>
          <w:p w14:paraId="7AE03CE0" w14:textId="0E15C301" w:rsidR="003B7620" w:rsidRPr="00BE111F" w:rsidRDefault="003B7620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P41公式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(4-14)</w:t>
            </w: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：解释</w:t>
            </w:r>
            <w:r w:rsidRPr="00BE111F">
              <w:rPr>
                <w:rFonts w:ascii="Cambria Math" w:eastAsia="宋体" w:hAnsi="Cambria Math" w:cs="Cambria Math"/>
                <w:sz w:val="24"/>
                <w:szCs w:val="24"/>
              </w:rPr>
              <w:t>𝐸𝐸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(</w:t>
            </w:r>
            <w:r w:rsidRPr="00BE111F">
              <w:rPr>
                <w:rFonts w:ascii="Cambria Math" w:eastAsia="宋体" w:hAnsi="Cambria Math" w:cs="Cambria Math"/>
                <w:sz w:val="24"/>
                <w:szCs w:val="24"/>
              </w:rPr>
              <w:t>𝐏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 w:rsidRPr="00BE111F">
              <w:rPr>
                <w:rFonts w:ascii="Cambria Math" w:eastAsia="宋体" w:hAnsi="Cambria Math" w:cs="Cambria Math"/>
                <w:sz w:val="24"/>
                <w:szCs w:val="24"/>
              </w:rPr>
              <w:t>𝐐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 w:rsidRPr="00BE111F">
              <w:rPr>
                <w:rFonts w:ascii="Cambria Math" w:eastAsia="宋体" w:hAnsi="Cambria Math" w:cs="Cambria Math"/>
                <w:sz w:val="24"/>
                <w:szCs w:val="24"/>
              </w:rPr>
              <w:t>𝐗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的意义</w:t>
            </w:r>
          </w:p>
          <w:p w14:paraId="39F78C43" w14:textId="4C5E4189" w:rsidR="003B7620" w:rsidRPr="00BE111F" w:rsidRDefault="003B7620" w:rsidP="008D2BB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P42</w:t>
            </w: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公式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(4-1</w:t>
            </w: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  <w:r w:rsidRPr="00BE111F">
              <w:rPr>
                <w:rFonts w:ascii="宋体" w:eastAsia="宋体" w:hAnsi="宋体" w:cs="Times New Roman"/>
                <w:sz w:val="24"/>
                <w:szCs w:val="24"/>
              </w:rPr>
              <w:t>)：</w:t>
            </w: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说明等价的原因</w:t>
            </w:r>
          </w:p>
          <w:p w14:paraId="1C655C90" w14:textId="3CAE1A4E" w:rsidR="00CE47BE" w:rsidRPr="00BE111F" w:rsidRDefault="003B7620" w:rsidP="003D30C8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11F">
              <w:rPr>
                <w:rFonts w:ascii="宋体" w:eastAsia="宋体" w:hAnsi="宋体" w:cs="Times New Roman" w:hint="eastAsia"/>
                <w:sz w:val="24"/>
                <w:szCs w:val="24"/>
              </w:rPr>
              <w:t>P42公式(4-18)之后另起一段</w:t>
            </w: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1768FE27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21227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91BC" w14:textId="77777777" w:rsidR="0021227D" w:rsidRDefault="0021227D" w:rsidP="00967E25">
      <w:r>
        <w:separator/>
      </w:r>
    </w:p>
  </w:endnote>
  <w:endnote w:type="continuationSeparator" w:id="0">
    <w:p w14:paraId="29CE61E1" w14:textId="77777777" w:rsidR="0021227D" w:rsidRDefault="0021227D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DA538" w14:textId="77777777" w:rsidR="0021227D" w:rsidRDefault="0021227D" w:rsidP="00967E25">
      <w:r>
        <w:separator/>
      </w:r>
    </w:p>
  </w:footnote>
  <w:footnote w:type="continuationSeparator" w:id="0">
    <w:p w14:paraId="15B3788B" w14:textId="77777777" w:rsidR="0021227D" w:rsidRDefault="0021227D" w:rsidP="0096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46E3C"/>
    <w:multiLevelType w:val="hybridMultilevel"/>
    <w:tmpl w:val="844CCE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696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21227D"/>
    <w:rsid w:val="00213E7D"/>
    <w:rsid w:val="00285021"/>
    <w:rsid w:val="003341F8"/>
    <w:rsid w:val="00366CFB"/>
    <w:rsid w:val="003A1098"/>
    <w:rsid w:val="003B7620"/>
    <w:rsid w:val="003E1177"/>
    <w:rsid w:val="003E359D"/>
    <w:rsid w:val="003E48CA"/>
    <w:rsid w:val="004C1AB0"/>
    <w:rsid w:val="004C27CA"/>
    <w:rsid w:val="004E75C4"/>
    <w:rsid w:val="00525593"/>
    <w:rsid w:val="00574A4C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8D2BB9"/>
    <w:rsid w:val="009363A1"/>
    <w:rsid w:val="00967E25"/>
    <w:rsid w:val="00972C4D"/>
    <w:rsid w:val="00A74503"/>
    <w:rsid w:val="00AC78F0"/>
    <w:rsid w:val="00B75288"/>
    <w:rsid w:val="00B82F8C"/>
    <w:rsid w:val="00BA5750"/>
    <w:rsid w:val="00BE111F"/>
    <w:rsid w:val="00C05A36"/>
    <w:rsid w:val="00CA3A8B"/>
    <w:rsid w:val="00CE47BE"/>
    <w:rsid w:val="00CF4D1A"/>
    <w:rsid w:val="00D137D7"/>
    <w:rsid w:val="00D952E5"/>
    <w:rsid w:val="00DA72DF"/>
    <w:rsid w:val="00DC7738"/>
    <w:rsid w:val="00E90714"/>
    <w:rsid w:val="00E97F2D"/>
    <w:rsid w:val="00EF2587"/>
    <w:rsid w:val="00F00783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4C27CA"/>
    <w:rPr>
      <w:rFonts w:ascii="新宋体" w:eastAsia="新宋体" w:hAnsi="新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彩璐 王</cp:lastModifiedBy>
  <cp:revision>4</cp:revision>
  <dcterms:created xsi:type="dcterms:W3CDTF">2024-03-26T10:09:00Z</dcterms:created>
  <dcterms:modified xsi:type="dcterms:W3CDTF">2024-04-02T03:44:00Z</dcterms:modified>
</cp:coreProperties>
</file>