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B4CE88" w14:textId="77777777" w:rsidR="00834633" w:rsidRDefault="00834633" w:rsidP="00834633">
      <w:pPr>
        <w:rPr>
          <w:b/>
          <w:lang w:val="en-GB"/>
        </w:rPr>
      </w:pPr>
      <w:r>
        <w:rPr>
          <w:b/>
          <w:lang w:val="en-GB"/>
        </w:rPr>
        <w:t>Supplementary Material</w:t>
      </w:r>
    </w:p>
    <w:p w14:paraId="5E736571" w14:textId="77777777" w:rsidR="003E1D4B" w:rsidRDefault="003E1D4B" w:rsidP="003E1D4B">
      <w:pPr>
        <w:rPr>
          <w:lang w:val="en-GB"/>
        </w:rPr>
      </w:pPr>
      <w:r>
        <w:rPr>
          <w:b/>
          <w:lang w:val="en-GB"/>
        </w:rPr>
        <w:t>Differences in methylation between sexes</w:t>
      </w:r>
    </w:p>
    <w:p w14:paraId="0C0788E1" w14:textId="77777777" w:rsidR="003E1D4B" w:rsidRPr="008C6C3E" w:rsidRDefault="003E1D4B" w:rsidP="003E1D4B">
      <w:pPr>
        <w:rPr>
          <w:lang w:val="en-GB"/>
        </w:rPr>
      </w:pPr>
      <w:r>
        <w:rPr>
          <w:lang w:val="en-GB"/>
        </w:rPr>
        <w:tab/>
        <w:t>To determine whether males and females contained different levels of methylation, we compared the percent of loci that were methylated using a Bayesian GLMM with a Beta likelihood and logit link. The response variable was the proportion of loci methylated and the predictor variable was sex with a random intercept of individual. Figure S1 shows the result, indicating no difference in methylation between sexes, with each having ~76% of loci methylated.</w:t>
      </w:r>
    </w:p>
    <w:p w14:paraId="75CD5342" w14:textId="77777777" w:rsidR="003E1D4B" w:rsidRDefault="003E1D4B" w:rsidP="00834633">
      <w:pPr>
        <w:pStyle w:val="BodyText"/>
        <w:rPr>
          <w:rFonts w:ascii="Times New Roman" w:eastAsia="Times New Roman" w:hAnsi="Times New Roman"/>
          <w:b/>
          <w:szCs w:val="24"/>
          <w:lang w:val="en-GB"/>
        </w:rPr>
      </w:pPr>
    </w:p>
    <w:p w14:paraId="2D61CFD6" w14:textId="77777777" w:rsidR="00834633" w:rsidRPr="008C6C3E" w:rsidRDefault="00834633" w:rsidP="00834633">
      <w:pPr>
        <w:pStyle w:val="BodyText"/>
        <w:rPr>
          <w:rFonts w:ascii="Times New Roman" w:hAnsi="Times New Roman"/>
          <w:b/>
          <w:szCs w:val="24"/>
          <w:lang w:val="en-GB"/>
        </w:rPr>
      </w:pPr>
      <w:r>
        <w:rPr>
          <w:rFonts w:ascii="Times New Roman" w:hAnsi="Times New Roman"/>
          <w:b/>
          <w:szCs w:val="24"/>
          <w:lang w:val="en-GB"/>
        </w:rPr>
        <w:t>Statistical Models</w:t>
      </w:r>
    </w:p>
    <w:p w14:paraId="1C6F1DAF" w14:textId="77777777" w:rsidR="00834633" w:rsidRDefault="00834633" w:rsidP="00834633">
      <w:pPr>
        <w:pStyle w:val="BodyText"/>
      </w:pPr>
      <w:r w:rsidRPr="00E34D08">
        <w:rPr>
          <w:rFonts w:ascii="Times New Roman" w:hAnsi="Times New Roman"/>
          <w:szCs w:val="24"/>
          <w:lang w:val="en-GB"/>
        </w:rPr>
        <w:t>We compared total proportion of methylated loci to age and dispersal status using a Bayesian generalized linear mixed model (GLMM)</w:t>
      </w:r>
      <w:r>
        <w:rPr>
          <w:rFonts w:ascii="Times New Roman" w:hAnsi="Times New Roman"/>
          <w:szCs w:val="24"/>
          <w:lang w:val="en-GB"/>
        </w:rPr>
        <w:t xml:space="preserve"> with a beta</w:t>
      </w:r>
      <w:r w:rsidRPr="00E34D08">
        <w:rPr>
          <w:rFonts w:ascii="Times New Roman" w:hAnsi="Times New Roman"/>
          <w:szCs w:val="24"/>
          <w:lang w:val="en-GB"/>
        </w:rPr>
        <w:t xml:space="preserve"> likelihood with a logit link. The response variable was the proportion of methylated loci, the predictor variables were age, dispersal status, and their interaction; individual identity was fitted as a random intercept. Priors were </w:t>
      </w:r>
      <w:proofErr w:type="gramStart"/>
      <w:r w:rsidRPr="00E34D08">
        <w:rPr>
          <w:rFonts w:ascii="Times New Roman" w:hAnsi="Times New Roman"/>
          <w:i/>
          <w:iCs/>
          <w:szCs w:val="24"/>
          <w:lang w:val="en-GB"/>
        </w:rPr>
        <w:t>N</w:t>
      </w:r>
      <w:r w:rsidRPr="00E34D08">
        <w:rPr>
          <w:rFonts w:ascii="Times New Roman" w:hAnsi="Times New Roman"/>
          <w:szCs w:val="24"/>
          <w:lang w:val="en-GB"/>
        </w:rPr>
        <w:t>(</w:t>
      </w:r>
      <w:proofErr w:type="gramEnd"/>
      <w:r w:rsidRPr="00E34D08">
        <w:rPr>
          <w:rFonts w:ascii="Times New Roman" w:hAnsi="Times New Roman"/>
          <w:szCs w:val="24"/>
          <w:lang w:val="en-GB"/>
        </w:rPr>
        <w:t xml:space="preserve">0, 2) for the intercept, </w:t>
      </w:r>
      <w:r w:rsidRPr="00E34D08">
        <w:rPr>
          <w:rFonts w:ascii="Times New Roman" w:hAnsi="Times New Roman"/>
          <w:i/>
          <w:iCs/>
          <w:szCs w:val="24"/>
          <w:lang w:val="en-GB"/>
        </w:rPr>
        <w:t>N</w:t>
      </w:r>
      <w:r w:rsidRPr="00E34D08">
        <w:rPr>
          <w:rFonts w:ascii="Times New Roman" w:hAnsi="Times New Roman"/>
          <w:szCs w:val="24"/>
          <w:lang w:val="en-GB"/>
        </w:rPr>
        <w:t xml:space="preserve">(0, 1) for the betas, </w:t>
      </w:r>
      <w:proofErr w:type="spellStart"/>
      <w:r w:rsidRPr="00E34D08">
        <w:rPr>
          <w:rFonts w:ascii="Times New Roman" w:hAnsi="Times New Roman"/>
          <w:szCs w:val="24"/>
          <w:lang w:val="en-GB"/>
        </w:rPr>
        <w:t>HalfCauchy</w:t>
      </w:r>
      <w:proofErr w:type="spellEnd"/>
      <w:r w:rsidRPr="00E34D08">
        <w:rPr>
          <w:rFonts w:ascii="Times New Roman" w:hAnsi="Times New Roman"/>
          <w:szCs w:val="24"/>
          <w:lang w:val="en-GB"/>
        </w:rPr>
        <w:t xml:space="preserve">(0, 1) for the standard deviation, and gamma(0.01, 0.01) for </w:t>
      </w:r>
      <w:r w:rsidRPr="006D3DBA">
        <w:rPr>
          <w:rFonts w:ascii="Times New Roman" w:hAnsi="Times New Roman"/>
          <w:szCs w:val="24"/>
          <w:lang w:val="en-GB"/>
        </w:rPr>
        <w:t xml:space="preserve">phi. </w:t>
      </w:r>
      <w:r w:rsidRPr="006D3DBA">
        <w:rPr>
          <w:rFonts w:ascii="Times New Roman" w:hAnsi="Times New Roman"/>
        </w:rPr>
        <w:t xml:space="preserve">The model structure and priors </w:t>
      </w:r>
      <w:r>
        <w:rPr>
          <w:rFonts w:ascii="Times New Roman" w:hAnsi="Times New Roman"/>
        </w:rPr>
        <w:t>were:</w:t>
      </w:r>
    </w:p>
    <w:p w14:paraId="6DD28D5A" w14:textId="77777777" w:rsidR="00834633" w:rsidRDefault="00834633" w:rsidP="00834633">
      <w:pPr>
        <w:jc w:val="center"/>
      </w:pPr>
    </w:p>
    <w:p w14:paraId="41859A2D" w14:textId="77777777" w:rsidR="00834633" w:rsidRDefault="00834633" w:rsidP="00834633">
      <w:pPr>
        <w:jc w:val="center"/>
      </w:pPr>
      <w:commentRangeStart w:id="0"/>
      <w:r>
        <w:rPr>
          <w:i/>
        </w:rPr>
        <w:t>P</w:t>
      </w:r>
      <w:commentRangeEnd w:id="0"/>
      <w:r>
        <w:rPr>
          <w:rStyle w:val="CommentReference"/>
          <w:rFonts w:asciiTheme="minorHAnsi" w:eastAsiaTheme="minorHAnsi" w:hAnsiTheme="minorHAnsi" w:cstheme="minorBidi"/>
        </w:rPr>
        <w:commentReference w:id="0"/>
      </w:r>
      <w:r w:rsidRPr="00506B0B">
        <w:rPr>
          <w:i/>
          <w:vertAlign w:val="subscript"/>
        </w:rPr>
        <w:t>i</w:t>
      </w:r>
      <w:r w:rsidRPr="00506B0B">
        <w:rPr>
          <w:i/>
        </w:rPr>
        <w:t xml:space="preserve"> </w:t>
      </w:r>
      <w:r>
        <w:t xml:space="preserve">~ </w:t>
      </w:r>
      <w:proofErr w:type="gramStart"/>
      <w:r>
        <w:t>Beta(</w:t>
      </w:r>
      <w:proofErr w:type="spellStart"/>
      <w:proofErr w:type="gramEnd"/>
      <w:r>
        <w:rPr>
          <w:i/>
        </w:rPr>
        <w:t>m</w:t>
      </w:r>
      <w:r w:rsidRPr="00506B0B">
        <w:rPr>
          <w:i/>
        </w:rPr>
        <w:t>u</w:t>
      </w:r>
      <w:r w:rsidRPr="00506B0B">
        <w:rPr>
          <w:i/>
          <w:vertAlign w:val="subscript"/>
        </w:rPr>
        <w:t>i</w:t>
      </w:r>
      <w:proofErr w:type="spellEnd"/>
      <w:r w:rsidRPr="00B5518E">
        <w:rPr>
          <w:i/>
        </w:rPr>
        <w:t>, phi</w:t>
      </w:r>
      <w:r>
        <w:t>)</w:t>
      </w:r>
    </w:p>
    <w:p w14:paraId="3D787A27" w14:textId="77777777" w:rsidR="00834633" w:rsidRDefault="00834633" w:rsidP="00834633">
      <w:pPr>
        <w:jc w:val="center"/>
        <w:rPr>
          <w:vertAlign w:val="subscript"/>
        </w:rPr>
      </w:pPr>
      <w:r>
        <w:t>logit(</w:t>
      </w:r>
      <w:proofErr w:type="spellStart"/>
      <w:r>
        <w:rPr>
          <w:i/>
        </w:rPr>
        <w:t>mu</w:t>
      </w:r>
      <w:r w:rsidRPr="00506B0B">
        <w:rPr>
          <w:i/>
          <w:vertAlign w:val="subscript"/>
        </w:rPr>
        <w:t>i</w:t>
      </w:r>
      <w:proofErr w:type="spellEnd"/>
      <w:r>
        <w:t xml:space="preserve">) = </w:t>
      </w:r>
      <w:r w:rsidRPr="00506B0B">
        <w:rPr>
          <w:i/>
        </w:rPr>
        <w:t>α</w:t>
      </w:r>
      <w:r>
        <w:t xml:space="preserve"> + </w:t>
      </w:r>
      <w:r w:rsidRPr="00506B0B">
        <w:rPr>
          <w:i/>
        </w:rPr>
        <w:t>α</w:t>
      </w:r>
      <w:r w:rsidRPr="00506B0B">
        <w:rPr>
          <w:vertAlign w:val="subscript"/>
        </w:rPr>
        <w:t>Ind[</w:t>
      </w:r>
      <w:proofErr w:type="spellStart"/>
      <w:r w:rsidRPr="00506B0B">
        <w:rPr>
          <w:vertAlign w:val="subscript"/>
        </w:rPr>
        <w:t>i</w:t>
      </w:r>
      <w:proofErr w:type="spellEnd"/>
      <w:r w:rsidRPr="00506B0B">
        <w:rPr>
          <w:vertAlign w:val="subscript"/>
        </w:rPr>
        <w:t xml:space="preserve">] </w:t>
      </w:r>
      <w:r>
        <w:t xml:space="preserve">+ </w:t>
      </w:r>
      <w:r w:rsidRPr="00506B0B">
        <w:rPr>
          <w:i/>
        </w:rPr>
        <w:t>β</w:t>
      </w:r>
      <w:proofErr w:type="spellStart"/>
      <w:r w:rsidRPr="00506B0B">
        <w:rPr>
          <w:i/>
          <w:vertAlign w:val="subscript"/>
        </w:rPr>
        <w:t>A</w:t>
      </w:r>
      <w:r w:rsidRPr="00506B0B">
        <w:rPr>
          <w:i/>
        </w:rPr>
        <w:t>A</w:t>
      </w:r>
      <w:r w:rsidRPr="00506B0B">
        <w:rPr>
          <w:i/>
          <w:vertAlign w:val="subscript"/>
        </w:rPr>
        <w:t>i</w:t>
      </w:r>
      <w:proofErr w:type="spellEnd"/>
      <w:r>
        <w:t xml:space="preserve"> + </w:t>
      </w:r>
      <w:r w:rsidRPr="00506B0B">
        <w:rPr>
          <w:i/>
        </w:rPr>
        <w:t>β</w:t>
      </w:r>
      <w:proofErr w:type="spellStart"/>
      <w:r w:rsidRPr="00506B0B">
        <w:rPr>
          <w:i/>
          <w:vertAlign w:val="subscript"/>
        </w:rPr>
        <w:t>D</w:t>
      </w:r>
      <w:r w:rsidRPr="00506B0B">
        <w:rPr>
          <w:i/>
        </w:rPr>
        <w:t>D</w:t>
      </w:r>
      <w:r w:rsidRPr="00506B0B">
        <w:rPr>
          <w:i/>
          <w:vertAlign w:val="subscript"/>
        </w:rPr>
        <w:t>i</w:t>
      </w:r>
      <w:proofErr w:type="spellEnd"/>
      <w:r>
        <w:t xml:space="preserve"> + </w:t>
      </w:r>
      <w:r w:rsidRPr="00506B0B">
        <w:rPr>
          <w:i/>
        </w:rPr>
        <w:t>β</w:t>
      </w:r>
      <w:proofErr w:type="spellStart"/>
      <w:r w:rsidRPr="00506B0B">
        <w:rPr>
          <w:i/>
          <w:vertAlign w:val="subscript"/>
        </w:rPr>
        <w:t>AD</w:t>
      </w:r>
      <w:r w:rsidRPr="00506B0B">
        <w:rPr>
          <w:i/>
        </w:rPr>
        <w:t>A</w:t>
      </w:r>
      <w:r w:rsidRPr="00506B0B">
        <w:rPr>
          <w:i/>
          <w:vertAlign w:val="subscript"/>
        </w:rPr>
        <w:t>i</w:t>
      </w:r>
      <w:r w:rsidRPr="00506B0B">
        <w:rPr>
          <w:i/>
        </w:rPr>
        <w:t>D</w:t>
      </w:r>
      <w:r w:rsidRPr="00506B0B">
        <w:rPr>
          <w:i/>
          <w:vertAlign w:val="subscript"/>
        </w:rPr>
        <w:t>i</w:t>
      </w:r>
      <w:proofErr w:type="spellEnd"/>
    </w:p>
    <w:p w14:paraId="51F300C9" w14:textId="77777777" w:rsidR="00834633" w:rsidRPr="00506B0B" w:rsidRDefault="00834633" w:rsidP="00834633">
      <w:pPr>
        <w:jc w:val="center"/>
      </w:pPr>
      <w:r w:rsidRPr="00506B0B">
        <w:rPr>
          <w:i/>
        </w:rPr>
        <w:t>α</w:t>
      </w:r>
      <w:r>
        <w:t xml:space="preserve"> </w:t>
      </w:r>
      <w:proofErr w:type="gramStart"/>
      <w:r>
        <w:t>~  Normal</w:t>
      </w:r>
      <w:proofErr w:type="gramEnd"/>
      <w:r>
        <w:t xml:space="preserve">(0, 2)     </w:t>
      </w:r>
    </w:p>
    <w:p w14:paraId="7271F7F5" w14:textId="77777777" w:rsidR="00834633" w:rsidRPr="00506B0B" w:rsidRDefault="00834633" w:rsidP="00834633">
      <w:pPr>
        <w:jc w:val="center"/>
      </w:pPr>
      <w:r w:rsidRPr="00506B0B">
        <w:rPr>
          <w:i/>
        </w:rPr>
        <w:t xml:space="preserve"> α</w:t>
      </w:r>
      <w:r w:rsidRPr="00506B0B">
        <w:rPr>
          <w:vertAlign w:val="subscript"/>
        </w:rPr>
        <w:t>Ind[</w:t>
      </w:r>
      <w:proofErr w:type="spellStart"/>
      <w:r w:rsidRPr="00506B0B">
        <w:rPr>
          <w:vertAlign w:val="subscript"/>
        </w:rPr>
        <w:t>i</w:t>
      </w:r>
      <w:proofErr w:type="spellEnd"/>
      <w:r w:rsidRPr="00506B0B">
        <w:rPr>
          <w:vertAlign w:val="subscript"/>
        </w:rPr>
        <w:t xml:space="preserve">] </w:t>
      </w:r>
      <w:r>
        <w:t xml:space="preserve">~ </w:t>
      </w:r>
      <w:proofErr w:type="gramStart"/>
      <w:r>
        <w:t>Normal(</w:t>
      </w:r>
      <w:proofErr w:type="gramEnd"/>
      <w:r>
        <w:t xml:space="preserve">0, </w:t>
      </w:r>
      <w:proofErr w:type="spellStart"/>
      <w:r w:rsidRPr="00506B0B">
        <w:rPr>
          <w:i/>
        </w:rPr>
        <w:t>σ</w:t>
      </w:r>
      <w:r w:rsidRPr="00506B0B">
        <w:rPr>
          <w:vertAlign w:val="subscript"/>
        </w:rPr>
        <w:t>Ind</w:t>
      </w:r>
      <w:proofErr w:type="spellEnd"/>
      <w:r>
        <w:t>)</w:t>
      </w:r>
    </w:p>
    <w:p w14:paraId="19426326" w14:textId="77777777" w:rsidR="00834633" w:rsidRDefault="00834633" w:rsidP="00834633">
      <w:pPr>
        <w:jc w:val="center"/>
      </w:pPr>
      <w:r w:rsidRPr="00506B0B">
        <w:rPr>
          <w:i/>
        </w:rPr>
        <w:t>β</w:t>
      </w:r>
      <w:r>
        <w:rPr>
          <w:i/>
          <w:vertAlign w:val="subscript"/>
        </w:rPr>
        <w:t>X</w:t>
      </w:r>
      <w:r>
        <w:rPr>
          <w:i/>
        </w:rPr>
        <w:t xml:space="preserve"> </w:t>
      </w:r>
      <w:r>
        <w:t xml:space="preserve">~ </w:t>
      </w:r>
      <w:proofErr w:type="gramStart"/>
      <w:r>
        <w:t>Normal(</w:t>
      </w:r>
      <w:proofErr w:type="gramEnd"/>
      <w:r>
        <w:t>0, 1)</w:t>
      </w:r>
    </w:p>
    <w:p w14:paraId="22E26712" w14:textId="77777777" w:rsidR="00834633" w:rsidRPr="00506B0B" w:rsidRDefault="00834633" w:rsidP="00834633">
      <w:pPr>
        <w:jc w:val="center"/>
      </w:pPr>
      <w:proofErr w:type="spellStart"/>
      <w:r w:rsidRPr="00506B0B">
        <w:rPr>
          <w:i/>
        </w:rPr>
        <w:t>σ</w:t>
      </w:r>
      <w:r w:rsidRPr="00506B0B">
        <w:rPr>
          <w:vertAlign w:val="subscript"/>
        </w:rPr>
        <w:t>Ind</w:t>
      </w:r>
      <w:proofErr w:type="spellEnd"/>
      <w:r>
        <w:t xml:space="preserve"> ~ </w:t>
      </w:r>
      <w:proofErr w:type="spellStart"/>
      <w:proofErr w:type="gramStart"/>
      <w:r>
        <w:t>HalfCauchy</w:t>
      </w:r>
      <w:proofErr w:type="spellEnd"/>
      <w:r>
        <w:t>(</w:t>
      </w:r>
      <w:proofErr w:type="gramEnd"/>
      <w:r>
        <w:t>0, 1)</w:t>
      </w:r>
    </w:p>
    <w:p w14:paraId="6298F534" w14:textId="77777777" w:rsidR="00834633" w:rsidRPr="00506B0B" w:rsidRDefault="00834633" w:rsidP="00834633">
      <w:pPr>
        <w:jc w:val="center"/>
      </w:pPr>
      <w:r w:rsidRPr="00B5518E">
        <w:rPr>
          <w:i/>
        </w:rPr>
        <w:t>phi</w:t>
      </w:r>
      <w:r>
        <w:t xml:space="preserve"> ~ </w:t>
      </w:r>
      <w:proofErr w:type="gramStart"/>
      <w:r>
        <w:t>Gamma(</w:t>
      </w:r>
      <w:proofErr w:type="gramEnd"/>
      <w:r>
        <w:t>0.01, 0.01)</w:t>
      </w:r>
    </w:p>
    <w:p w14:paraId="2103B9AA" w14:textId="77777777" w:rsidR="00834633" w:rsidRDefault="00834633" w:rsidP="00834633">
      <w:pPr>
        <w:jc w:val="center"/>
      </w:pPr>
    </w:p>
    <w:p w14:paraId="26F66635" w14:textId="77777777" w:rsidR="00834633" w:rsidRDefault="00834633" w:rsidP="00834633">
      <w:pPr>
        <w:spacing w:after="120"/>
      </w:pPr>
      <w:r>
        <w:rPr>
          <w:i/>
        </w:rPr>
        <w:t>P</w:t>
      </w:r>
      <w:r w:rsidRPr="00506B0B">
        <w:rPr>
          <w:i/>
          <w:vertAlign w:val="subscript"/>
        </w:rPr>
        <w:t>i</w:t>
      </w:r>
      <w:r>
        <w:rPr>
          <w:vertAlign w:val="subscript"/>
        </w:rPr>
        <w:t xml:space="preserve"> </w:t>
      </w:r>
      <w:r>
        <w:t xml:space="preserve">is the proportion of methylated loci in the </w:t>
      </w:r>
      <w:proofErr w:type="spellStart"/>
      <w:r>
        <w:rPr>
          <w:i/>
        </w:rPr>
        <w:t>i</w:t>
      </w:r>
      <w:r>
        <w:t>th</w:t>
      </w:r>
      <w:proofErr w:type="spellEnd"/>
      <w:r>
        <w:t xml:space="preserve"> individual, </w:t>
      </w:r>
      <w:proofErr w:type="spellStart"/>
      <w:r>
        <w:rPr>
          <w:i/>
        </w:rPr>
        <w:t>m</w:t>
      </w:r>
      <w:r w:rsidRPr="00506B0B">
        <w:rPr>
          <w:i/>
        </w:rPr>
        <w:t>u</w:t>
      </w:r>
      <w:r w:rsidRPr="00506B0B">
        <w:rPr>
          <w:i/>
          <w:vertAlign w:val="subscript"/>
        </w:rPr>
        <w:t>i</w:t>
      </w:r>
      <w:proofErr w:type="spellEnd"/>
      <w:r>
        <w:t xml:space="preserve"> is the mean parameterized as shape1/(shape1 + phi) from the parameters of the beta distribution, </w:t>
      </w:r>
      <w:r w:rsidRPr="00506B0B">
        <w:rPr>
          <w:i/>
        </w:rPr>
        <w:t>α</w:t>
      </w:r>
      <w:r>
        <w:t xml:space="preserve"> is the intercept, </w:t>
      </w:r>
      <w:r w:rsidRPr="00506B0B">
        <w:rPr>
          <w:i/>
        </w:rPr>
        <w:t>α</w:t>
      </w:r>
      <w:r w:rsidRPr="00506B0B">
        <w:rPr>
          <w:vertAlign w:val="subscript"/>
        </w:rPr>
        <w:t>Ind[</w:t>
      </w:r>
      <w:proofErr w:type="spellStart"/>
      <w:r w:rsidRPr="00506B0B">
        <w:rPr>
          <w:vertAlign w:val="subscript"/>
        </w:rPr>
        <w:t>i</w:t>
      </w:r>
      <w:proofErr w:type="spellEnd"/>
      <w:r w:rsidRPr="00506B0B">
        <w:rPr>
          <w:vertAlign w:val="subscript"/>
        </w:rPr>
        <w:t>]</w:t>
      </w:r>
      <w:r>
        <w:t xml:space="preserve"> is the random effect (varying intercept), </w:t>
      </w:r>
      <w:r w:rsidRPr="00506B0B">
        <w:rPr>
          <w:i/>
        </w:rPr>
        <w:t>β</w:t>
      </w:r>
      <w:r>
        <w:t>’s are the coefficients for age (</w:t>
      </w:r>
      <w:r>
        <w:rPr>
          <w:i/>
        </w:rPr>
        <w:t>A</w:t>
      </w:r>
      <w:r>
        <w:t>) or dispersal (</w:t>
      </w:r>
      <w:r>
        <w:rPr>
          <w:i/>
        </w:rPr>
        <w:t>D</w:t>
      </w:r>
      <w:r>
        <w:t>),</w:t>
      </w:r>
      <w:r w:rsidRPr="00984FCB">
        <w:rPr>
          <w:i/>
        </w:rPr>
        <w:t xml:space="preserve"> </w:t>
      </w:r>
      <w:proofErr w:type="spellStart"/>
      <w:r w:rsidRPr="00506B0B">
        <w:rPr>
          <w:i/>
        </w:rPr>
        <w:t>σ</w:t>
      </w:r>
      <w:r w:rsidRPr="00506B0B">
        <w:rPr>
          <w:vertAlign w:val="subscript"/>
        </w:rPr>
        <w:t>Ind</w:t>
      </w:r>
      <w:proofErr w:type="spellEnd"/>
      <w:r>
        <w:t xml:space="preserve"> is the prior for the </w:t>
      </w:r>
      <w:proofErr w:type="spellStart"/>
      <w:r>
        <w:t>sd</w:t>
      </w:r>
      <w:proofErr w:type="spellEnd"/>
      <w:r>
        <w:t xml:space="preserve"> of the random effect, and </w:t>
      </w:r>
      <w:r>
        <w:rPr>
          <w:i/>
        </w:rPr>
        <w:t>phi</w:t>
      </w:r>
      <w:r>
        <w:t xml:space="preserve"> is the second parameter of the beta distribution. </w:t>
      </w:r>
    </w:p>
    <w:p w14:paraId="55BBC29D" w14:textId="77777777" w:rsidR="00834633" w:rsidRPr="006D3DBA" w:rsidRDefault="00834633" w:rsidP="00834633">
      <w:pPr>
        <w:spacing w:after="120"/>
        <w:ind w:firstLine="720"/>
      </w:pPr>
      <w:r>
        <w:rPr>
          <w:lang w:val="en-GB"/>
        </w:rPr>
        <w:t xml:space="preserve">The second analysis, determining how </w:t>
      </w:r>
      <w:r w:rsidRPr="00E34D08">
        <w:rPr>
          <w:lang w:val="en-GB"/>
        </w:rPr>
        <w:t>methylation state changed over time</w:t>
      </w:r>
      <w:r>
        <w:rPr>
          <w:lang w:val="en-GB"/>
        </w:rPr>
        <w:t>, was completed</w:t>
      </w:r>
      <w:r w:rsidRPr="00E34D08">
        <w:rPr>
          <w:lang w:val="en-GB"/>
        </w:rPr>
        <w:t xml:space="preserve"> with a GLMM with a binomial likelihood and log</w:t>
      </w:r>
      <w:r>
        <w:rPr>
          <w:lang w:val="en-GB"/>
        </w:rPr>
        <w:t>it</w:t>
      </w:r>
      <w:r w:rsidRPr="00E34D08">
        <w:rPr>
          <w:lang w:val="en-GB"/>
        </w:rPr>
        <w:t xml:space="preserve"> link. In this model, the response variable was the number of loci that changed methylation status (gained or lost methylation) out of the total number of loci examined. The predictor variables were dispersal status, age transition (i.e. from hatchling to fledgling or from fledgling to adult), and their interaction. Priors were </w:t>
      </w:r>
      <w:proofErr w:type="gramStart"/>
      <w:r w:rsidRPr="00E34D08">
        <w:rPr>
          <w:i/>
          <w:iCs/>
          <w:lang w:val="en-GB"/>
        </w:rPr>
        <w:t>N</w:t>
      </w:r>
      <w:r w:rsidRPr="00E34D08">
        <w:rPr>
          <w:lang w:val="en-GB"/>
        </w:rPr>
        <w:t>(</w:t>
      </w:r>
      <w:proofErr w:type="gramEnd"/>
      <w:r w:rsidRPr="00E34D08">
        <w:rPr>
          <w:lang w:val="en-GB"/>
        </w:rPr>
        <w:t xml:space="preserve">0, 1) for the intercept, </w:t>
      </w:r>
      <w:r w:rsidRPr="006D3DBA">
        <w:rPr>
          <w:i/>
          <w:iCs/>
          <w:lang w:val="en-GB"/>
        </w:rPr>
        <w:t>N</w:t>
      </w:r>
      <w:r w:rsidRPr="006D3DBA">
        <w:rPr>
          <w:lang w:val="en-GB"/>
        </w:rPr>
        <w:t>(0, 1) for the betas, and Cauchy(0, 1) for the standard deviation. T</w:t>
      </w:r>
      <w:r w:rsidRPr="006D3DBA">
        <w:t>he model structure was</w:t>
      </w:r>
    </w:p>
    <w:p w14:paraId="1F25E631" w14:textId="77777777" w:rsidR="00834633" w:rsidRDefault="00834633" w:rsidP="00834633">
      <w:pPr>
        <w:jc w:val="center"/>
      </w:pPr>
      <w:commentRangeStart w:id="1"/>
      <w:r>
        <w:rPr>
          <w:i/>
        </w:rPr>
        <w:t>C</w:t>
      </w:r>
      <w:commentRangeEnd w:id="1"/>
      <w:r>
        <w:rPr>
          <w:rStyle w:val="CommentReference"/>
          <w:rFonts w:asciiTheme="minorHAnsi" w:eastAsiaTheme="minorHAnsi" w:hAnsiTheme="minorHAnsi" w:cstheme="minorBidi"/>
        </w:rPr>
        <w:commentReference w:id="1"/>
      </w:r>
      <w:r w:rsidRPr="00506B0B">
        <w:rPr>
          <w:i/>
          <w:vertAlign w:val="subscript"/>
        </w:rPr>
        <w:t>i</w:t>
      </w:r>
      <w:r w:rsidRPr="00506B0B">
        <w:rPr>
          <w:i/>
        </w:rPr>
        <w:t xml:space="preserve"> </w:t>
      </w:r>
      <w:r>
        <w:t xml:space="preserve">~ </w:t>
      </w:r>
      <w:proofErr w:type="gramStart"/>
      <w:r>
        <w:t>Binomial(</w:t>
      </w:r>
      <w:proofErr w:type="spellStart"/>
      <w:proofErr w:type="gramEnd"/>
      <w:r>
        <w:rPr>
          <w:i/>
        </w:rPr>
        <w:t>n</w:t>
      </w:r>
      <w:r w:rsidRPr="00506B0B">
        <w:rPr>
          <w:i/>
          <w:vertAlign w:val="subscript"/>
        </w:rPr>
        <w:t>i</w:t>
      </w:r>
      <w:proofErr w:type="spellEnd"/>
      <w:r w:rsidRPr="00B5518E">
        <w:rPr>
          <w:i/>
        </w:rPr>
        <w:t>, p</w:t>
      </w:r>
      <w:r>
        <w:rPr>
          <w:i/>
          <w:vertAlign w:val="subscript"/>
        </w:rPr>
        <w:t>i</w:t>
      </w:r>
      <w:r>
        <w:t>)</w:t>
      </w:r>
    </w:p>
    <w:p w14:paraId="0BFCA186" w14:textId="77777777" w:rsidR="00834633" w:rsidRDefault="00834633" w:rsidP="00834633">
      <w:pPr>
        <w:jc w:val="center"/>
        <w:rPr>
          <w:vertAlign w:val="subscript"/>
        </w:rPr>
      </w:pPr>
      <w:r>
        <w:t>logit(</w:t>
      </w:r>
      <w:r w:rsidRPr="00B5518E">
        <w:rPr>
          <w:i/>
        </w:rPr>
        <w:t>p</w:t>
      </w:r>
      <w:r>
        <w:rPr>
          <w:i/>
          <w:vertAlign w:val="subscript"/>
        </w:rPr>
        <w:t>i</w:t>
      </w:r>
      <w:r>
        <w:t xml:space="preserve">) = </w:t>
      </w:r>
      <w:r w:rsidRPr="00506B0B">
        <w:rPr>
          <w:i/>
        </w:rPr>
        <w:t>α</w:t>
      </w:r>
      <w:r>
        <w:t xml:space="preserve"> + </w:t>
      </w:r>
      <w:r w:rsidRPr="00506B0B">
        <w:rPr>
          <w:i/>
        </w:rPr>
        <w:t>α</w:t>
      </w:r>
      <w:r w:rsidRPr="00506B0B">
        <w:rPr>
          <w:vertAlign w:val="subscript"/>
        </w:rPr>
        <w:t>Ind[</w:t>
      </w:r>
      <w:proofErr w:type="spellStart"/>
      <w:r w:rsidRPr="00506B0B">
        <w:rPr>
          <w:vertAlign w:val="subscript"/>
        </w:rPr>
        <w:t>i</w:t>
      </w:r>
      <w:proofErr w:type="spellEnd"/>
      <w:r w:rsidRPr="00506B0B">
        <w:rPr>
          <w:vertAlign w:val="subscript"/>
        </w:rPr>
        <w:t xml:space="preserve">] </w:t>
      </w:r>
      <w:r>
        <w:t xml:space="preserve">+ </w:t>
      </w:r>
      <w:r w:rsidRPr="00506B0B">
        <w:rPr>
          <w:i/>
        </w:rPr>
        <w:t>β</w:t>
      </w:r>
      <w:proofErr w:type="spellStart"/>
      <w:r w:rsidRPr="00506B0B">
        <w:rPr>
          <w:i/>
          <w:vertAlign w:val="subscript"/>
        </w:rPr>
        <w:t>A</w:t>
      </w:r>
      <w:r>
        <w:rPr>
          <w:i/>
          <w:vertAlign w:val="subscript"/>
        </w:rPr>
        <w:t>t</w:t>
      </w:r>
      <w:r w:rsidRPr="00506B0B">
        <w:rPr>
          <w:i/>
        </w:rPr>
        <w:t>A</w:t>
      </w:r>
      <w:r>
        <w:rPr>
          <w:i/>
        </w:rPr>
        <w:t>t</w:t>
      </w:r>
      <w:r w:rsidRPr="00506B0B">
        <w:rPr>
          <w:i/>
          <w:vertAlign w:val="subscript"/>
        </w:rPr>
        <w:t>i</w:t>
      </w:r>
      <w:proofErr w:type="spellEnd"/>
      <w:r>
        <w:t xml:space="preserve"> + </w:t>
      </w:r>
      <w:r w:rsidRPr="00506B0B">
        <w:rPr>
          <w:i/>
        </w:rPr>
        <w:t>β</w:t>
      </w:r>
      <w:proofErr w:type="spellStart"/>
      <w:r w:rsidRPr="00506B0B">
        <w:rPr>
          <w:i/>
          <w:vertAlign w:val="subscript"/>
        </w:rPr>
        <w:t>D</w:t>
      </w:r>
      <w:r w:rsidRPr="00506B0B">
        <w:rPr>
          <w:i/>
        </w:rPr>
        <w:t>D</w:t>
      </w:r>
      <w:r w:rsidRPr="00506B0B">
        <w:rPr>
          <w:i/>
          <w:vertAlign w:val="subscript"/>
        </w:rPr>
        <w:t>i</w:t>
      </w:r>
      <w:proofErr w:type="spellEnd"/>
      <w:r>
        <w:t xml:space="preserve"> + </w:t>
      </w:r>
      <w:r w:rsidRPr="00506B0B">
        <w:rPr>
          <w:i/>
        </w:rPr>
        <w:t>β</w:t>
      </w:r>
      <w:proofErr w:type="spellStart"/>
      <w:r w:rsidRPr="00506B0B">
        <w:rPr>
          <w:i/>
          <w:vertAlign w:val="subscript"/>
        </w:rPr>
        <w:t>A</w:t>
      </w:r>
      <w:r>
        <w:rPr>
          <w:i/>
          <w:vertAlign w:val="subscript"/>
        </w:rPr>
        <w:t>t</w:t>
      </w:r>
      <w:r w:rsidRPr="00506B0B">
        <w:rPr>
          <w:i/>
          <w:vertAlign w:val="subscript"/>
        </w:rPr>
        <w:t>D</w:t>
      </w:r>
      <w:r w:rsidRPr="00506B0B">
        <w:rPr>
          <w:i/>
        </w:rPr>
        <w:t>A</w:t>
      </w:r>
      <w:r>
        <w:rPr>
          <w:i/>
        </w:rPr>
        <w:t>t</w:t>
      </w:r>
      <w:r w:rsidRPr="00506B0B">
        <w:rPr>
          <w:i/>
          <w:vertAlign w:val="subscript"/>
        </w:rPr>
        <w:t>i</w:t>
      </w:r>
      <w:r w:rsidRPr="00506B0B">
        <w:rPr>
          <w:i/>
        </w:rPr>
        <w:t>D</w:t>
      </w:r>
      <w:r w:rsidRPr="00506B0B">
        <w:rPr>
          <w:i/>
          <w:vertAlign w:val="subscript"/>
        </w:rPr>
        <w:t>i</w:t>
      </w:r>
      <w:proofErr w:type="spellEnd"/>
    </w:p>
    <w:p w14:paraId="75CD3C3C" w14:textId="77777777" w:rsidR="00834633" w:rsidRPr="00506B0B" w:rsidRDefault="00834633" w:rsidP="00834633">
      <w:pPr>
        <w:jc w:val="center"/>
      </w:pPr>
      <w:r w:rsidRPr="00506B0B">
        <w:rPr>
          <w:i/>
        </w:rPr>
        <w:t>α</w:t>
      </w:r>
      <w:r>
        <w:t xml:space="preserve"> </w:t>
      </w:r>
      <w:proofErr w:type="gramStart"/>
      <w:r>
        <w:t>~  Normal</w:t>
      </w:r>
      <w:proofErr w:type="gramEnd"/>
      <w:r>
        <w:t xml:space="preserve">(0, 1)     </w:t>
      </w:r>
    </w:p>
    <w:p w14:paraId="5D8CD097" w14:textId="77777777" w:rsidR="00834633" w:rsidRPr="00506B0B" w:rsidRDefault="00834633" w:rsidP="00834633">
      <w:pPr>
        <w:jc w:val="center"/>
      </w:pPr>
      <w:r w:rsidRPr="00506B0B">
        <w:rPr>
          <w:i/>
        </w:rPr>
        <w:t xml:space="preserve"> α</w:t>
      </w:r>
      <w:r w:rsidRPr="00506B0B">
        <w:rPr>
          <w:vertAlign w:val="subscript"/>
        </w:rPr>
        <w:t>Ind[</w:t>
      </w:r>
      <w:proofErr w:type="spellStart"/>
      <w:r w:rsidRPr="00506B0B">
        <w:rPr>
          <w:vertAlign w:val="subscript"/>
        </w:rPr>
        <w:t>i</w:t>
      </w:r>
      <w:proofErr w:type="spellEnd"/>
      <w:r w:rsidRPr="00506B0B">
        <w:rPr>
          <w:vertAlign w:val="subscript"/>
        </w:rPr>
        <w:t xml:space="preserve">] </w:t>
      </w:r>
      <w:r>
        <w:t xml:space="preserve">~ </w:t>
      </w:r>
      <w:proofErr w:type="gramStart"/>
      <w:r>
        <w:t>Normal(</w:t>
      </w:r>
      <w:proofErr w:type="gramEnd"/>
      <w:r>
        <w:t xml:space="preserve">0, </w:t>
      </w:r>
      <w:proofErr w:type="spellStart"/>
      <w:r w:rsidRPr="00506B0B">
        <w:rPr>
          <w:i/>
        </w:rPr>
        <w:t>σ</w:t>
      </w:r>
      <w:r w:rsidRPr="00506B0B">
        <w:rPr>
          <w:vertAlign w:val="subscript"/>
        </w:rPr>
        <w:t>Ind</w:t>
      </w:r>
      <w:proofErr w:type="spellEnd"/>
      <w:r>
        <w:t>)</w:t>
      </w:r>
    </w:p>
    <w:p w14:paraId="7E2B285D" w14:textId="77777777" w:rsidR="00834633" w:rsidRDefault="00834633" w:rsidP="00834633">
      <w:pPr>
        <w:jc w:val="center"/>
      </w:pPr>
      <w:r w:rsidRPr="00506B0B">
        <w:rPr>
          <w:i/>
        </w:rPr>
        <w:t>β</w:t>
      </w:r>
      <w:r>
        <w:rPr>
          <w:i/>
          <w:vertAlign w:val="subscript"/>
        </w:rPr>
        <w:t>X</w:t>
      </w:r>
      <w:r>
        <w:rPr>
          <w:i/>
        </w:rPr>
        <w:t xml:space="preserve"> </w:t>
      </w:r>
      <w:r>
        <w:t xml:space="preserve">~ </w:t>
      </w:r>
      <w:proofErr w:type="gramStart"/>
      <w:r>
        <w:t>Normal(</w:t>
      </w:r>
      <w:proofErr w:type="gramEnd"/>
      <w:r>
        <w:t>0, 1)</w:t>
      </w:r>
    </w:p>
    <w:p w14:paraId="58B86D1F" w14:textId="77777777" w:rsidR="00834633" w:rsidRPr="00506B0B" w:rsidRDefault="00834633" w:rsidP="00834633">
      <w:pPr>
        <w:jc w:val="center"/>
      </w:pPr>
      <w:proofErr w:type="spellStart"/>
      <w:r w:rsidRPr="00506B0B">
        <w:rPr>
          <w:i/>
        </w:rPr>
        <w:t>σ</w:t>
      </w:r>
      <w:r w:rsidRPr="00506B0B">
        <w:rPr>
          <w:vertAlign w:val="subscript"/>
        </w:rPr>
        <w:t>Ind</w:t>
      </w:r>
      <w:proofErr w:type="spellEnd"/>
      <w:r>
        <w:t xml:space="preserve"> ~ </w:t>
      </w:r>
      <w:proofErr w:type="spellStart"/>
      <w:proofErr w:type="gramStart"/>
      <w:r>
        <w:t>HalfCauchy</w:t>
      </w:r>
      <w:proofErr w:type="spellEnd"/>
      <w:r>
        <w:t>(</w:t>
      </w:r>
      <w:proofErr w:type="gramEnd"/>
      <w:r>
        <w:t>0, 1)</w:t>
      </w:r>
    </w:p>
    <w:p w14:paraId="363F297C" w14:textId="77777777" w:rsidR="00834633" w:rsidRDefault="00834633" w:rsidP="00834633"/>
    <w:p w14:paraId="3027511D" w14:textId="77777777" w:rsidR="00834633" w:rsidRPr="008C6C3E" w:rsidRDefault="00834633" w:rsidP="00834633">
      <w:pPr>
        <w:spacing w:after="120"/>
      </w:pPr>
      <w:r>
        <w:rPr>
          <w:i/>
        </w:rPr>
        <w:lastRenderedPageBreak/>
        <w:t>C</w:t>
      </w:r>
      <w:r w:rsidRPr="00506B0B">
        <w:rPr>
          <w:i/>
          <w:vertAlign w:val="subscript"/>
        </w:rPr>
        <w:t>i</w:t>
      </w:r>
      <w:r>
        <w:t xml:space="preserve"> is the number of loci that changed methylation status out of the total number of loci examined (</w:t>
      </w:r>
      <w:proofErr w:type="spellStart"/>
      <w:r>
        <w:rPr>
          <w:i/>
        </w:rPr>
        <w:t>n</w:t>
      </w:r>
      <w:r w:rsidRPr="00506B0B">
        <w:rPr>
          <w:i/>
          <w:vertAlign w:val="subscript"/>
        </w:rPr>
        <w:t>i</w:t>
      </w:r>
      <w:proofErr w:type="spellEnd"/>
      <w:r>
        <w:t xml:space="preserve">) for the </w:t>
      </w:r>
      <w:proofErr w:type="spellStart"/>
      <w:r>
        <w:rPr>
          <w:i/>
        </w:rPr>
        <w:t>i</w:t>
      </w:r>
      <w:r>
        <w:t>th</w:t>
      </w:r>
      <w:proofErr w:type="spellEnd"/>
      <w:r>
        <w:t xml:space="preserve"> individual, </w:t>
      </w:r>
      <w:r w:rsidRPr="00B5518E">
        <w:rPr>
          <w:i/>
        </w:rPr>
        <w:t>p</w:t>
      </w:r>
      <w:r>
        <w:rPr>
          <w:i/>
          <w:vertAlign w:val="subscript"/>
        </w:rPr>
        <w:t>i</w:t>
      </w:r>
      <w:r>
        <w:t xml:space="preserve"> is the probability of changing methylation status, </w:t>
      </w:r>
      <w:r>
        <w:rPr>
          <w:i/>
        </w:rPr>
        <w:t>A</w:t>
      </w:r>
      <w:r>
        <w:rPr>
          <w:i/>
          <w:vertAlign w:val="subscript"/>
        </w:rPr>
        <w:t>t</w:t>
      </w:r>
      <w:r>
        <w:t xml:space="preserve"> is the age of transition with two levels (hatchling to fledgling or fledgling to adult), and all other parameters are the same as the previous model. </w:t>
      </w:r>
    </w:p>
    <w:p w14:paraId="03D0FF60" w14:textId="77777777" w:rsidR="00834633" w:rsidRDefault="00834633" w:rsidP="00834633">
      <w:pPr>
        <w:rPr>
          <w:b/>
          <w:lang w:val="en-GB"/>
        </w:rPr>
      </w:pPr>
    </w:p>
    <w:p w14:paraId="03E1A69F" w14:textId="77777777" w:rsidR="00834633" w:rsidRDefault="00834633" w:rsidP="00834633">
      <w:pPr>
        <w:rPr>
          <w:lang w:val="en-GB"/>
        </w:rPr>
      </w:pPr>
      <w:r>
        <w:rPr>
          <w:b/>
          <w:lang w:val="en-GB"/>
        </w:rPr>
        <w:t>Prior Predictive Distribution</w:t>
      </w:r>
    </w:p>
    <w:p w14:paraId="02C1E3B4" w14:textId="77777777" w:rsidR="00834633" w:rsidRDefault="00834633" w:rsidP="00834633">
      <w:pPr>
        <w:ind w:firstLine="720"/>
        <w:rPr>
          <w:lang w:val="en-GB"/>
        </w:rPr>
      </w:pPr>
      <w:r>
        <w:rPr>
          <w:lang w:val="en-GB"/>
        </w:rPr>
        <w:t>To determine whether our prior choices were reasonable before seeing the data, we plotted the outcomes of the model using the prior predictive distribution. This represents the model outcome when fit using only simulations from the prior, not the data (</w:t>
      </w:r>
      <w:proofErr w:type="spellStart"/>
      <w:r>
        <w:rPr>
          <w:lang w:val="en-GB"/>
        </w:rPr>
        <w:t>Gabry</w:t>
      </w:r>
      <w:proofErr w:type="spellEnd"/>
      <w:r>
        <w:rPr>
          <w:lang w:val="en-GB"/>
        </w:rPr>
        <w:t xml:space="preserve"> et al. 2019). The result is shown in Figure S2. Prior to seeing the data, the model expects a wide possibility of outcomes ranging from ~ 0 to 100% methylation change or 0 to 100% change in the proportion of loci that are methylated. In addition, there is no expectation of difference among treatments </w:t>
      </w:r>
      <w:r>
        <w:rPr>
          <w:i/>
          <w:lang w:val="en-GB"/>
        </w:rPr>
        <w:t>a priori</w:t>
      </w:r>
      <w:r>
        <w:rPr>
          <w:lang w:val="en-GB"/>
        </w:rPr>
        <w:t>, as indicated by the similarity of prior predictions across the treatment groups.</w:t>
      </w:r>
    </w:p>
    <w:p w14:paraId="63491DDF" w14:textId="77777777" w:rsidR="00834633" w:rsidRDefault="00834633" w:rsidP="00834633">
      <w:pPr>
        <w:rPr>
          <w:lang w:val="en-GB"/>
        </w:rPr>
      </w:pPr>
      <w:r>
        <w:rPr>
          <w:lang w:val="en-GB"/>
        </w:rPr>
        <w:tab/>
        <w:t>After seeing the data, there is a clear change from the prior to the posterior. The difference in the prior and posterior predictions is indicative of the amount of information learned from the data. In this case, the posterior distributions are far less uncertain than the prior distributions, even with a relatively small sample size.</w:t>
      </w:r>
    </w:p>
    <w:p w14:paraId="070BD7AC" w14:textId="77777777" w:rsidR="00834633" w:rsidRPr="008C6C3E" w:rsidRDefault="00834633" w:rsidP="00834633">
      <w:pPr>
        <w:rPr>
          <w:lang w:val="en-GB"/>
        </w:rPr>
      </w:pPr>
    </w:p>
    <w:p w14:paraId="6C5D9BED" w14:textId="77777777" w:rsidR="00834633" w:rsidRDefault="00834633" w:rsidP="00834633">
      <w:pPr>
        <w:rPr>
          <w:lang w:val="en-GB"/>
        </w:rPr>
      </w:pPr>
      <w:r>
        <w:rPr>
          <w:b/>
          <w:lang w:val="en-GB"/>
        </w:rPr>
        <w:t>Prior Sensitivity Analysis</w:t>
      </w:r>
    </w:p>
    <w:p w14:paraId="5E33C703" w14:textId="77777777" w:rsidR="00834633" w:rsidRDefault="00834633" w:rsidP="00834633">
      <w:pPr>
        <w:rPr>
          <w:lang w:val="en-GB"/>
        </w:rPr>
      </w:pPr>
    </w:p>
    <w:p w14:paraId="036697EF" w14:textId="77777777" w:rsidR="00834633" w:rsidRPr="008C6C3E" w:rsidRDefault="00834633" w:rsidP="00834633">
      <w:pPr>
        <w:rPr>
          <w:i/>
          <w:lang w:val="en-GB"/>
        </w:rPr>
      </w:pPr>
      <w:r>
        <w:rPr>
          <w:i/>
          <w:lang w:val="en-GB"/>
        </w:rPr>
        <w:t>Approach</w:t>
      </w:r>
    </w:p>
    <w:p w14:paraId="11DF5723" w14:textId="77777777" w:rsidR="00834633" w:rsidRDefault="00834633" w:rsidP="00834633">
      <w:pPr>
        <w:ind w:firstLine="720"/>
        <w:rPr>
          <w:lang w:val="en-GB"/>
        </w:rPr>
      </w:pPr>
      <w:r>
        <w:rPr>
          <w:lang w:val="en-GB"/>
        </w:rPr>
        <w:t xml:space="preserve">Prior specifications become increasingly important in models with small sample sizes. Therefore, to determine how sensitive our results were the priors, we conducted a prior sensitivity analysis (Hobbs and Hooten 2015). To do this, we re-ran both models (see text for model specifications) six times, each time changing the prior standard deviation for the </w:t>
      </w:r>
      <w:r w:rsidRPr="008C6C3E">
        <w:rPr>
          <w:i/>
          <w:lang w:val="en-GB"/>
        </w:rPr>
        <w:t>β</w:t>
      </w:r>
      <w:r>
        <w:rPr>
          <w:lang w:val="en-GB"/>
        </w:rPr>
        <w:t xml:space="preserve"> parameters to make them either more informative (smaller value of the prior </w:t>
      </w:r>
      <w:proofErr w:type="spellStart"/>
      <w:r>
        <w:rPr>
          <w:lang w:val="en-GB"/>
        </w:rPr>
        <w:t>sd</w:t>
      </w:r>
      <w:proofErr w:type="spellEnd"/>
      <w:r>
        <w:rPr>
          <w:lang w:val="en-GB"/>
        </w:rPr>
        <w:t xml:space="preserve">) or less informative (larger value of the prior </w:t>
      </w:r>
      <w:proofErr w:type="spellStart"/>
      <w:r>
        <w:rPr>
          <w:lang w:val="en-GB"/>
        </w:rPr>
        <w:t>sd</w:t>
      </w:r>
      <w:proofErr w:type="spellEnd"/>
      <w:r>
        <w:rPr>
          <w:lang w:val="en-GB"/>
        </w:rPr>
        <w:t>) (Hobbs and Hooten 2015, Korner-</w:t>
      </w:r>
      <w:proofErr w:type="spellStart"/>
      <w:r>
        <w:rPr>
          <w:lang w:val="en-GB"/>
        </w:rPr>
        <w:t>Nievergelt</w:t>
      </w:r>
      <w:proofErr w:type="spellEnd"/>
      <w:r>
        <w:rPr>
          <w:lang w:val="en-GB"/>
        </w:rPr>
        <w:t xml:space="preserve"> et al. 2015) relative to the original prior of </w:t>
      </w:r>
      <w:r>
        <w:rPr>
          <w:i/>
          <w:lang w:val="en-GB"/>
        </w:rPr>
        <w:t>N</w:t>
      </w:r>
      <w:r>
        <w:rPr>
          <w:lang w:val="en-GB"/>
        </w:rPr>
        <w:t xml:space="preserve">(0,1). In addition, we ran each model under a maximum likelihood framework using the </w:t>
      </w:r>
      <w:r>
        <w:rPr>
          <w:i/>
          <w:lang w:val="en-GB"/>
        </w:rPr>
        <w:t>lme4</w:t>
      </w:r>
      <w:r>
        <w:rPr>
          <w:lang w:val="en-GB"/>
        </w:rPr>
        <w:t xml:space="preserve"> (Bates et al. 2014) or </w:t>
      </w:r>
      <w:proofErr w:type="spellStart"/>
      <w:r>
        <w:rPr>
          <w:i/>
          <w:lang w:val="en-GB"/>
        </w:rPr>
        <w:t>glmmTMB</w:t>
      </w:r>
      <w:proofErr w:type="spellEnd"/>
      <w:r>
        <w:rPr>
          <w:lang w:val="en-GB"/>
        </w:rPr>
        <w:t xml:space="preserve"> (Brooks et al. 2017) packages for the binomial model or beta model, respectively. Maximum likelihood estimates are roughly akin to Bayesian estimates with a uniform prior between -∞ and +∞ (</w:t>
      </w:r>
      <w:proofErr w:type="spellStart"/>
      <w:r>
        <w:rPr>
          <w:lang w:val="en-GB"/>
        </w:rPr>
        <w:t>McElreath</w:t>
      </w:r>
      <w:proofErr w:type="spellEnd"/>
      <w:r>
        <w:rPr>
          <w:lang w:val="en-GB"/>
        </w:rPr>
        <w:t xml:space="preserve"> 2020).</w:t>
      </w:r>
    </w:p>
    <w:p w14:paraId="401E8CBE" w14:textId="77777777" w:rsidR="00834633" w:rsidRDefault="00834633" w:rsidP="00834633">
      <w:pPr>
        <w:ind w:firstLine="720"/>
        <w:rPr>
          <w:lang w:val="en-GB"/>
        </w:rPr>
      </w:pPr>
      <w:r>
        <w:rPr>
          <w:lang w:val="en-GB"/>
        </w:rPr>
        <w:t>To compare the results, we plotted the estimates of individual parameters from each model separately (Fig S3</w:t>
      </w:r>
      <w:proofErr w:type="gramStart"/>
      <w:r>
        <w:rPr>
          <w:lang w:val="en-GB"/>
        </w:rPr>
        <w:t>a,b</w:t>
      </w:r>
      <w:proofErr w:type="gramEnd"/>
      <w:r>
        <w:rPr>
          <w:lang w:val="en-GB"/>
        </w:rPr>
        <w:t>). In addition, we plotted the conditional effects from each model (Fig S4</w:t>
      </w:r>
      <w:proofErr w:type="gramStart"/>
      <w:r>
        <w:rPr>
          <w:lang w:val="en-GB"/>
        </w:rPr>
        <w:t>a,b</w:t>
      </w:r>
      <w:proofErr w:type="gramEnd"/>
      <w:r>
        <w:rPr>
          <w:lang w:val="en-GB"/>
        </w:rPr>
        <w:t>). The conditional effects are the means and 95% confidence/credible intervals of the predictions we were interested in. These plots replicate the same plots as Figs 1 and 2 in the main text but iterate over different priors to show how the results change in response to prior specification.</w:t>
      </w:r>
    </w:p>
    <w:p w14:paraId="6F0A233F" w14:textId="77777777" w:rsidR="00834633" w:rsidRDefault="00834633" w:rsidP="00834633">
      <w:pPr>
        <w:rPr>
          <w:lang w:val="en-GB"/>
        </w:rPr>
      </w:pPr>
    </w:p>
    <w:p w14:paraId="72F71A00" w14:textId="77777777" w:rsidR="00834633" w:rsidRDefault="00834633" w:rsidP="00834633">
      <w:pPr>
        <w:rPr>
          <w:lang w:val="en-GB"/>
        </w:rPr>
      </w:pPr>
      <w:r>
        <w:rPr>
          <w:i/>
          <w:lang w:val="en-GB"/>
        </w:rPr>
        <w:t>Results</w:t>
      </w:r>
    </w:p>
    <w:p w14:paraId="0CAD646B" w14:textId="77777777" w:rsidR="00834633" w:rsidRDefault="00834633" w:rsidP="00834633">
      <w:pPr>
        <w:ind w:firstLine="720"/>
        <w:rPr>
          <w:lang w:val="en-GB"/>
        </w:rPr>
      </w:pPr>
      <w:r>
        <w:rPr>
          <w:lang w:val="en-GB"/>
        </w:rPr>
        <w:t xml:space="preserve">For the first model (Proportion of loci methylated at each age and dispersal status), the parameter estimates converged towards zero as the prior became more informative (smaller </w:t>
      </w:r>
      <w:proofErr w:type="spellStart"/>
      <w:r>
        <w:rPr>
          <w:lang w:val="en-GB"/>
        </w:rPr>
        <w:t>sd</w:t>
      </w:r>
      <w:proofErr w:type="spellEnd"/>
      <w:r>
        <w:rPr>
          <w:lang w:val="en-GB"/>
        </w:rPr>
        <w:t>) (Figure S3a). However, the qualitative result in the main model was robust to all but the two most restrictive priors (Figure S4a). That is, our qualitative conclusions about the proportion of methylated loci differing between dispersed and philopatric fledglings would not have changed, as indicated by the non-overlap of the 95% intervals with the mean of either group when the prior standard deviation is 0.5 or higher.</w:t>
      </w:r>
    </w:p>
    <w:p w14:paraId="72F21E6E" w14:textId="77777777" w:rsidR="00834633" w:rsidRDefault="00834633" w:rsidP="00834633">
      <w:pPr>
        <w:ind w:firstLine="720"/>
        <w:rPr>
          <w:lang w:val="en-GB"/>
        </w:rPr>
      </w:pPr>
      <w:r>
        <w:rPr>
          <w:lang w:val="en-GB"/>
        </w:rPr>
        <w:lastRenderedPageBreak/>
        <w:t xml:space="preserve">For the second model (Proportion of loci that changed methylation status), the parameter estimates are less sensitive to prior specifications (Figure S3b). As shown in Figure S4b, the parameter estimates do not appreciably change until the prior </w:t>
      </w:r>
      <w:proofErr w:type="spellStart"/>
      <w:r>
        <w:rPr>
          <w:lang w:val="en-GB"/>
        </w:rPr>
        <w:t>sd</w:t>
      </w:r>
      <w:proofErr w:type="spellEnd"/>
      <w:r>
        <w:rPr>
          <w:lang w:val="en-GB"/>
        </w:rPr>
        <w:t xml:space="preserve"> is at its most restrictive setting (0.1). Similarly, the qualitative result relative to the main model is similar across all parameter settings except for </w:t>
      </w:r>
      <w:proofErr w:type="gramStart"/>
      <w:r>
        <w:rPr>
          <w:i/>
          <w:lang w:val="en-GB"/>
        </w:rPr>
        <w:t>N</w:t>
      </w:r>
      <w:r>
        <w:rPr>
          <w:lang w:val="en-GB"/>
        </w:rPr>
        <w:t>(</w:t>
      </w:r>
      <w:proofErr w:type="gramEnd"/>
      <w:r>
        <w:rPr>
          <w:lang w:val="en-GB"/>
        </w:rPr>
        <w:t xml:space="preserve">0, 0.1).  </w:t>
      </w:r>
    </w:p>
    <w:p w14:paraId="4D865FB1" w14:textId="77777777" w:rsidR="00834633" w:rsidRDefault="00834633" w:rsidP="00834633">
      <w:pPr>
        <w:ind w:firstLine="720"/>
        <w:rPr>
          <w:lang w:val="en-GB"/>
        </w:rPr>
      </w:pPr>
      <w:r>
        <w:rPr>
          <w:lang w:val="en-GB"/>
        </w:rPr>
        <w:t xml:space="preserve">As expected, regardless of prior specification, all estimates from the Bayesian models are more conservative than the maximum likelihood estimates. This is due to the priors being </w:t>
      </w:r>
      <w:proofErr w:type="spellStart"/>
      <w:r>
        <w:rPr>
          <w:lang w:val="en-GB"/>
        </w:rPr>
        <w:t>centered</w:t>
      </w:r>
      <w:proofErr w:type="spellEnd"/>
      <w:r>
        <w:rPr>
          <w:lang w:val="en-GB"/>
        </w:rPr>
        <w:t xml:space="preserve"> on zero. As a result, the prior expectation is always weighted towards a conservative assumption of no difference in methylation or no change in methylation. Whether that prior has a meaningful influence on the posterior depends on how restrictive the standard deviation is. By contrast, the maximum likelihood estimate is derived entirely from the data and has no inherent pull towards zero (i.e. it has an implicit uniform prior). As a result, any risks of over-generalizing from a small sample size are highest under the maximum likelihood scenario. </w:t>
      </w:r>
    </w:p>
    <w:p w14:paraId="3711DB59" w14:textId="77777777" w:rsidR="00834633" w:rsidRPr="00F57EE5" w:rsidRDefault="00834633" w:rsidP="00834633">
      <w:pPr>
        <w:ind w:firstLine="720"/>
        <w:rPr>
          <w:lang w:val="en-GB"/>
        </w:rPr>
      </w:pPr>
      <w:r>
        <w:rPr>
          <w:lang w:val="en-GB"/>
        </w:rPr>
        <w:t xml:space="preserve"> </w:t>
      </w:r>
    </w:p>
    <w:p w14:paraId="4318BB33" w14:textId="77777777" w:rsidR="00834633" w:rsidRDefault="00834633" w:rsidP="00834633">
      <w:pPr>
        <w:rPr>
          <w:lang w:val="en-GB"/>
        </w:rPr>
      </w:pPr>
    </w:p>
    <w:p w14:paraId="26D27383" w14:textId="77777777" w:rsidR="00834633" w:rsidRDefault="00834633" w:rsidP="00834633">
      <w:pPr>
        <w:rPr>
          <w:lang w:val="en-GB"/>
        </w:rPr>
      </w:pPr>
      <w:r>
        <w:rPr>
          <w:lang w:val="en-GB"/>
        </w:rPr>
        <w:t xml:space="preserve">    </w:t>
      </w:r>
    </w:p>
    <w:p w14:paraId="72A63636" w14:textId="77777777" w:rsidR="00834633" w:rsidRDefault="00834633" w:rsidP="00834633">
      <w:pPr>
        <w:rPr>
          <w:lang w:val="en-GB"/>
        </w:rPr>
      </w:pPr>
      <w:r>
        <w:rPr>
          <w:lang w:val="en-GB"/>
        </w:rPr>
        <w:br w:type="page"/>
      </w:r>
    </w:p>
    <w:p w14:paraId="6D7ABCB6" w14:textId="77777777" w:rsidR="00834633" w:rsidRDefault="00834633" w:rsidP="00834633">
      <w:pPr>
        <w:rPr>
          <w:lang w:val="en-GB"/>
        </w:rPr>
      </w:pPr>
      <w:r>
        <w:rPr>
          <w:noProof/>
          <w:lang w:val="en-GB"/>
        </w:rPr>
        <w:lastRenderedPageBreak/>
        <w:drawing>
          <wp:inline distT="0" distB="0" distL="0" distR="0" wp14:anchorId="003E7963" wp14:editId="77C38987">
            <wp:extent cx="3657600" cy="3657600"/>
            <wp:effectExtent l="0" t="0" r="0" b="0"/>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57600" cy="3657600"/>
                    </a:xfrm>
                    <a:prstGeom prst="rect">
                      <a:avLst/>
                    </a:prstGeom>
                  </pic:spPr>
                </pic:pic>
              </a:graphicData>
            </a:graphic>
          </wp:inline>
        </w:drawing>
      </w:r>
    </w:p>
    <w:p w14:paraId="18A67F24" w14:textId="77777777" w:rsidR="00834633" w:rsidRDefault="00834633" w:rsidP="00834633">
      <w:pPr>
        <w:rPr>
          <w:lang w:val="en-GB"/>
        </w:rPr>
      </w:pPr>
      <w:r>
        <w:rPr>
          <w:lang w:val="en-GB"/>
        </w:rPr>
        <w:t xml:space="preserve">Figure S1. Proportion of methylated loci in male and female birds. Boxplots summarize the posterior distribution from a Beta GLMM, and dots are the raw data. </w:t>
      </w:r>
      <w:r>
        <w:rPr>
          <w:lang w:val="en-GB"/>
        </w:rPr>
        <w:br w:type="page"/>
      </w:r>
    </w:p>
    <w:p w14:paraId="466846A5" w14:textId="77777777" w:rsidR="00834633" w:rsidRDefault="00834633" w:rsidP="00834633">
      <w:pPr>
        <w:rPr>
          <w:lang w:val="en-GB"/>
        </w:rPr>
      </w:pPr>
      <w:r>
        <w:rPr>
          <w:b/>
          <w:noProof/>
          <w:lang w:val="en-GB"/>
        </w:rPr>
        <w:lastRenderedPageBreak/>
        <w:drawing>
          <wp:inline distT="0" distB="0" distL="0" distR="0" wp14:anchorId="237FF396" wp14:editId="7EB086CC">
            <wp:extent cx="4572000" cy="3657600"/>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3657600"/>
                    </a:xfrm>
                    <a:prstGeom prst="rect">
                      <a:avLst/>
                    </a:prstGeom>
                  </pic:spPr>
                </pic:pic>
              </a:graphicData>
            </a:graphic>
          </wp:inline>
        </w:drawing>
      </w:r>
    </w:p>
    <w:p w14:paraId="296AF51F" w14:textId="77777777" w:rsidR="00834633" w:rsidRDefault="00834633" w:rsidP="00834633">
      <w:pPr>
        <w:rPr>
          <w:lang w:val="en-GB"/>
        </w:rPr>
      </w:pPr>
      <w:r>
        <w:rPr>
          <w:lang w:val="en-GB"/>
        </w:rPr>
        <w:t xml:space="preserve">Figure S2. Prior and posterior comparisons. The top panels show the model results before including the data (i.e. generated only from the prior distribution). The bottom panels show the same models, but now including the data (i.e. generated from the posterior distribution. Circles are means and error bars are 95% </w:t>
      </w:r>
      <w:proofErr w:type="spellStart"/>
      <w:r>
        <w:rPr>
          <w:lang w:val="en-GB"/>
        </w:rPr>
        <w:t>CrI</w:t>
      </w:r>
      <w:proofErr w:type="spellEnd"/>
      <w:r>
        <w:rPr>
          <w:lang w:val="en-GB"/>
        </w:rPr>
        <w:t xml:space="preserve">. </w:t>
      </w:r>
      <w:r>
        <w:rPr>
          <w:lang w:val="en-GB"/>
        </w:rPr>
        <w:br w:type="page"/>
      </w:r>
    </w:p>
    <w:p w14:paraId="074A5D30" w14:textId="77777777" w:rsidR="00834633" w:rsidRDefault="00834633" w:rsidP="00834633">
      <w:pPr>
        <w:spacing w:line="360" w:lineRule="auto"/>
        <w:rPr>
          <w:lang w:val="en-GB"/>
        </w:rPr>
      </w:pPr>
      <w:r>
        <w:rPr>
          <w:noProof/>
          <w:lang w:val="en-GB"/>
        </w:rPr>
        <w:lastRenderedPageBreak/>
        <w:drawing>
          <wp:inline distT="0" distB="0" distL="0" distR="0" wp14:anchorId="553040FC" wp14:editId="3739ED92">
            <wp:extent cx="5943600" cy="371475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4AE5B362" w14:textId="77777777" w:rsidR="00834633" w:rsidRDefault="00834633" w:rsidP="00834633">
      <w:pPr>
        <w:rPr>
          <w:lang w:val="en-GB"/>
        </w:rPr>
      </w:pPr>
    </w:p>
    <w:p w14:paraId="691F923D" w14:textId="77777777" w:rsidR="00834633" w:rsidRDefault="00834633" w:rsidP="00834633">
      <w:pPr>
        <w:rPr>
          <w:lang w:val="en-GB"/>
        </w:rPr>
      </w:pPr>
      <w:r>
        <w:rPr>
          <w:lang w:val="en-GB"/>
        </w:rPr>
        <w:t xml:space="preserve">Figure S3. Parameter estimates from a prior sensitivity analysis. The model presented in the main text has a prior standard deviation of 1, </w:t>
      </w:r>
      <w:proofErr w:type="gramStart"/>
      <w:r>
        <w:rPr>
          <w:i/>
          <w:lang w:val="en-GB"/>
        </w:rPr>
        <w:t>N</w:t>
      </w:r>
      <w:r>
        <w:rPr>
          <w:lang w:val="en-GB"/>
        </w:rPr>
        <w:t>(</w:t>
      </w:r>
      <w:proofErr w:type="gramEnd"/>
      <w:r>
        <w:rPr>
          <w:lang w:val="en-GB"/>
        </w:rPr>
        <w:t xml:space="preserve">0,1), and is shown with the large green circle. The other models contain parameter estimates after adjusting the prior and re-running the model. Values less than 1 are more restrictive priors. Values greater than 1 are less restrictive priors compared to the prior for the main model. Values for the yellow triangle represent parameter estimates from maximum likelihood using the </w:t>
      </w:r>
      <w:r>
        <w:rPr>
          <w:i/>
          <w:lang w:val="en-GB"/>
        </w:rPr>
        <w:t>lme4</w:t>
      </w:r>
      <w:r>
        <w:rPr>
          <w:lang w:val="en-GB"/>
        </w:rPr>
        <w:t xml:space="preserve"> package. These results are roughly akin to running a Bayesian model with a standard deviation of infinity – Inf (Max </w:t>
      </w:r>
      <w:proofErr w:type="spellStart"/>
      <w:r>
        <w:rPr>
          <w:lang w:val="en-GB"/>
        </w:rPr>
        <w:t>Lik</w:t>
      </w:r>
      <w:proofErr w:type="spellEnd"/>
      <w:r>
        <w:rPr>
          <w:lang w:val="en-GB"/>
        </w:rPr>
        <w:t xml:space="preserve">) on all priors. </w:t>
      </w:r>
      <w:r>
        <w:rPr>
          <w:lang w:val="en-GB"/>
        </w:rPr>
        <w:br w:type="page"/>
      </w:r>
    </w:p>
    <w:p w14:paraId="7B3A0D9E" w14:textId="77777777" w:rsidR="00834633" w:rsidRDefault="00834633" w:rsidP="00834633">
      <w:pPr>
        <w:rPr>
          <w:lang w:val="en-GB"/>
        </w:rPr>
      </w:pPr>
      <w:r>
        <w:rPr>
          <w:noProof/>
          <w:lang w:val="en-GB"/>
        </w:rPr>
        <w:lastRenderedPageBreak/>
        <w:drawing>
          <wp:inline distT="0" distB="0" distL="0" distR="0" wp14:anchorId="445BD4B4" wp14:editId="11FBCEFE">
            <wp:extent cx="5943600" cy="3714750"/>
            <wp:effectExtent l="0" t="0" r="0" b="0"/>
            <wp:docPr id="3" name="Picture 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lin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7D294FF8" w14:textId="77777777" w:rsidR="00834633" w:rsidRDefault="00834633" w:rsidP="00834633">
      <w:pPr>
        <w:rPr>
          <w:lang w:val="en-GB"/>
        </w:rPr>
      </w:pPr>
    </w:p>
    <w:p w14:paraId="34EDDAC0" w14:textId="77777777" w:rsidR="00834633" w:rsidRDefault="00834633" w:rsidP="00834633">
      <w:pPr>
        <w:rPr>
          <w:lang w:val="en-GB"/>
        </w:rPr>
      </w:pPr>
      <w:r>
        <w:rPr>
          <w:lang w:val="en-GB"/>
        </w:rPr>
        <w:t>Figure S4. Conditional effects from a prior sensitivity analysis. The model presented in the main text - 1 (MS) - has a prior standard deviation of 1 (</w:t>
      </w:r>
      <w:proofErr w:type="gramStart"/>
      <w:r>
        <w:rPr>
          <w:i/>
          <w:lang w:val="en-GB"/>
        </w:rPr>
        <w:t>N</w:t>
      </w:r>
      <w:r>
        <w:rPr>
          <w:lang w:val="en-GB"/>
        </w:rPr>
        <w:t>(</w:t>
      </w:r>
      <w:proofErr w:type="gramEnd"/>
      <w:r>
        <w:rPr>
          <w:lang w:val="en-GB"/>
        </w:rPr>
        <w:t xml:space="preserve">0,1)). The other models show alternative results after adjusting the prior and re-running the model. Values less than 1 are more restrictive priors. Values greater than 1 are less restrictive priors compared to the prior for the main model. Results from maximum likelihood use the </w:t>
      </w:r>
      <w:r>
        <w:rPr>
          <w:i/>
          <w:lang w:val="en-GB"/>
        </w:rPr>
        <w:t>lme4</w:t>
      </w:r>
      <w:r>
        <w:rPr>
          <w:lang w:val="en-GB"/>
        </w:rPr>
        <w:t xml:space="preserve"> package– Inf (Max </w:t>
      </w:r>
      <w:proofErr w:type="spellStart"/>
      <w:r>
        <w:rPr>
          <w:lang w:val="en-GB"/>
        </w:rPr>
        <w:t>Lik</w:t>
      </w:r>
      <w:proofErr w:type="spellEnd"/>
      <w:r>
        <w:rPr>
          <w:lang w:val="en-GB"/>
        </w:rPr>
        <w:t>). Maximum likelihood results are roughly akin to running a Bayesian model with a standard deviation of infinity on all priors.</w:t>
      </w:r>
      <w:r>
        <w:rPr>
          <w:lang w:val="en-GB"/>
        </w:rPr>
        <w:br w:type="page"/>
      </w:r>
    </w:p>
    <w:p w14:paraId="23EDC2C1" w14:textId="77777777" w:rsidR="00834633" w:rsidRDefault="00834633" w:rsidP="00834633">
      <w:pPr>
        <w:spacing w:line="360" w:lineRule="auto"/>
        <w:rPr>
          <w:b/>
          <w:lang w:val="en-GB"/>
        </w:rPr>
      </w:pPr>
      <w:r>
        <w:rPr>
          <w:b/>
          <w:lang w:val="en-GB"/>
        </w:rPr>
        <w:lastRenderedPageBreak/>
        <w:t>References - Supplementary</w:t>
      </w:r>
    </w:p>
    <w:p w14:paraId="73553922" w14:textId="77777777" w:rsidR="00834633" w:rsidRPr="00014EB4" w:rsidRDefault="00834633" w:rsidP="00834633">
      <w:pPr>
        <w:spacing w:line="360" w:lineRule="auto"/>
        <w:rPr>
          <w:lang w:val="en-GB"/>
        </w:rPr>
      </w:pPr>
    </w:p>
    <w:p w14:paraId="277DB115" w14:textId="77777777" w:rsidR="00834633" w:rsidRPr="00014EB4" w:rsidRDefault="00834633" w:rsidP="00834633">
      <w:pPr>
        <w:spacing w:line="360" w:lineRule="auto"/>
        <w:rPr>
          <w:lang w:val="en-GB"/>
        </w:rPr>
      </w:pPr>
      <w:r w:rsidRPr="008C6C3E">
        <w:rPr>
          <w:color w:val="222222"/>
          <w:shd w:val="clear" w:color="auto" w:fill="FFFFFF"/>
        </w:rPr>
        <w:t xml:space="preserve">Bates, D., </w:t>
      </w:r>
      <w:proofErr w:type="spellStart"/>
      <w:r w:rsidRPr="008C6C3E">
        <w:rPr>
          <w:color w:val="222222"/>
          <w:shd w:val="clear" w:color="auto" w:fill="FFFFFF"/>
        </w:rPr>
        <w:t>Mächler</w:t>
      </w:r>
      <w:proofErr w:type="spellEnd"/>
      <w:r w:rsidRPr="008C6C3E">
        <w:rPr>
          <w:color w:val="222222"/>
          <w:shd w:val="clear" w:color="auto" w:fill="FFFFFF"/>
        </w:rPr>
        <w:t xml:space="preserve">, M., </w:t>
      </w:r>
      <w:proofErr w:type="spellStart"/>
      <w:r w:rsidRPr="008C6C3E">
        <w:rPr>
          <w:color w:val="222222"/>
          <w:shd w:val="clear" w:color="auto" w:fill="FFFFFF"/>
        </w:rPr>
        <w:t>Bolker</w:t>
      </w:r>
      <w:proofErr w:type="spellEnd"/>
      <w:r w:rsidRPr="008C6C3E">
        <w:rPr>
          <w:color w:val="222222"/>
          <w:shd w:val="clear" w:color="auto" w:fill="FFFFFF"/>
        </w:rPr>
        <w:t xml:space="preserve">, B., &amp; Walker, S. (2014). Fitting linear mixed-effects models </w:t>
      </w:r>
      <w:r>
        <w:rPr>
          <w:color w:val="222222"/>
          <w:shd w:val="clear" w:color="auto" w:fill="FFFFFF"/>
        </w:rPr>
        <w:tab/>
      </w:r>
      <w:r w:rsidRPr="008C6C3E">
        <w:rPr>
          <w:color w:val="222222"/>
          <w:shd w:val="clear" w:color="auto" w:fill="FFFFFF"/>
        </w:rPr>
        <w:t>using lme4. </w:t>
      </w:r>
      <w:proofErr w:type="spellStart"/>
      <w:r w:rsidRPr="008C6C3E">
        <w:rPr>
          <w:i/>
          <w:iCs/>
          <w:color w:val="222222"/>
          <w:shd w:val="clear" w:color="auto" w:fill="FFFFFF"/>
        </w:rPr>
        <w:t>arXiv</w:t>
      </w:r>
      <w:proofErr w:type="spellEnd"/>
      <w:r w:rsidRPr="008C6C3E">
        <w:rPr>
          <w:i/>
          <w:iCs/>
          <w:color w:val="222222"/>
          <w:shd w:val="clear" w:color="auto" w:fill="FFFFFF"/>
        </w:rPr>
        <w:t xml:space="preserve"> preprint arXiv:1406.5823</w:t>
      </w:r>
      <w:r w:rsidRPr="008C6C3E">
        <w:rPr>
          <w:color w:val="222222"/>
          <w:shd w:val="clear" w:color="auto" w:fill="FFFFFF"/>
        </w:rPr>
        <w:t>.</w:t>
      </w:r>
    </w:p>
    <w:p w14:paraId="1BFF437B" w14:textId="77777777" w:rsidR="00834633" w:rsidRPr="008C6C3E" w:rsidRDefault="00834633" w:rsidP="00834633">
      <w:pPr>
        <w:spacing w:line="360" w:lineRule="auto"/>
        <w:rPr>
          <w:color w:val="222222"/>
          <w:shd w:val="clear" w:color="auto" w:fill="FFFFFF"/>
        </w:rPr>
      </w:pPr>
      <w:r w:rsidRPr="008C6C3E">
        <w:rPr>
          <w:color w:val="222222"/>
          <w:shd w:val="clear" w:color="auto" w:fill="FFFFFF"/>
        </w:rPr>
        <w:t xml:space="preserve">Brooks, M. E., Kristensen, K., van </w:t>
      </w:r>
      <w:proofErr w:type="spellStart"/>
      <w:r w:rsidRPr="008C6C3E">
        <w:rPr>
          <w:color w:val="222222"/>
          <w:shd w:val="clear" w:color="auto" w:fill="FFFFFF"/>
        </w:rPr>
        <w:t>Benthem</w:t>
      </w:r>
      <w:proofErr w:type="spellEnd"/>
      <w:r w:rsidRPr="008C6C3E">
        <w:rPr>
          <w:color w:val="222222"/>
          <w:shd w:val="clear" w:color="auto" w:fill="FFFFFF"/>
        </w:rPr>
        <w:t xml:space="preserve">, K. J., Magnusson, A., Berg, C. W., Nielsen, A., ... </w:t>
      </w:r>
      <w:r>
        <w:rPr>
          <w:color w:val="222222"/>
          <w:shd w:val="clear" w:color="auto" w:fill="FFFFFF"/>
        </w:rPr>
        <w:tab/>
      </w:r>
      <w:r w:rsidRPr="008C6C3E">
        <w:rPr>
          <w:color w:val="222222"/>
          <w:shd w:val="clear" w:color="auto" w:fill="FFFFFF"/>
        </w:rPr>
        <w:t xml:space="preserve">&amp; </w:t>
      </w:r>
      <w:proofErr w:type="spellStart"/>
      <w:r w:rsidRPr="008C6C3E">
        <w:rPr>
          <w:color w:val="222222"/>
          <w:shd w:val="clear" w:color="auto" w:fill="FFFFFF"/>
        </w:rPr>
        <w:t>Bolker</w:t>
      </w:r>
      <w:proofErr w:type="spellEnd"/>
      <w:r w:rsidRPr="008C6C3E">
        <w:rPr>
          <w:color w:val="222222"/>
          <w:shd w:val="clear" w:color="auto" w:fill="FFFFFF"/>
        </w:rPr>
        <w:t xml:space="preserve">, B. M. (2017). </w:t>
      </w:r>
      <w:proofErr w:type="spellStart"/>
      <w:r w:rsidRPr="008C6C3E">
        <w:rPr>
          <w:color w:val="222222"/>
          <w:shd w:val="clear" w:color="auto" w:fill="FFFFFF"/>
        </w:rPr>
        <w:t>glmmTMB</w:t>
      </w:r>
      <w:proofErr w:type="spellEnd"/>
      <w:r w:rsidRPr="008C6C3E">
        <w:rPr>
          <w:color w:val="222222"/>
          <w:shd w:val="clear" w:color="auto" w:fill="FFFFFF"/>
        </w:rPr>
        <w:t xml:space="preserve"> balances speed and flexibility among packages for </w:t>
      </w:r>
      <w:r>
        <w:rPr>
          <w:color w:val="222222"/>
          <w:shd w:val="clear" w:color="auto" w:fill="FFFFFF"/>
        </w:rPr>
        <w:tab/>
      </w:r>
      <w:r w:rsidRPr="008C6C3E">
        <w:rPr>
          <w:color w:val="222222"/>
          <w:shd w:val="clear" w:color="auto" w:fill="FFFFFF"/>
        </w:rPr>
        <w:t>zero-inflated generalized linear mixed modeling. </w:t>
      </w:r>
      <w:r w:rsidRPr="008C6C3E">
        <w:rPr>
          <w:i/>
          <w:iCs/>
          <w:color w:val="222222"/>
          <w:shd w:val="clear" w:color="auto" w:fill="FFFFFF"/>
        </w:rPr>
        <w:t>The R journal</w:t>
      </w:r>
      <w:r w:rsidRPr="008C6C3E">
        <w:rPr>
          <w:color w:val="222222"/>
          <w:shd w:val="clear" w:color="auto" w:fill="FFFFFF"/>
        </w:rPr>
        <w:t>, </w:t>
      </w:r>
      <w:r w:rsidRPr="008C6C3E">
        <w:rPr>
          <w:i/>
          <w:iCs/>
          <w:color w:val="222222"/>
          <w:shd w:val="clear" w:color="auto" w:fill="FFFFFF"/>
        </w:rPr>
        <w:t>9</w:t>
      </w:r>
      <w:r w:rsidRPr="008C6C3E">
        <w:rPr>
          <w:color w:val="222222"/>
          <w:shd w:val="clear" w:color="auto" w:fill="FFFFFF"/>
        </w:rPr>
        <w:t>(2), 378-400.</w:t>
      </w:r>
    </w:p>
    <w:p w14:paraId="2ACC78C9" w14:textId="77777777" w:rsidR="00834633" w:rsidRPr="008C6C3E" w:rsidRDefault="00834633" w:rsidP="00834633">
      <w:pPr>
        <w:spacing w:line="360" w:lineRule="auto"/>
        <w:rPr>
          <w:color w:val="222222"/>
          <w:shd w:val="clear" w:color="auto" w:fill="FFFFFF"/>
        </w:rPr>
      </w:pPr>
      <w:proofErr w:type="spellStart"/>
      <w:r w:rsidRPr="008C6C3E">
        <w:rPr>
          <w:color w:val="222222"/>
          <w:shd w:val="clear" w:color="auto" w:fill="FFFFFF"/>
        </w:rPr>
        <w:t>Gabry</w:t>
      </w:r>
      <w:proofErr w:type="spellEnd"/>
      <w:r w:rsidRPr="008C6C3E">
        <w:rPr>
          <w:color w:val="222222"/>
          <w:shd w:val="clear" w:color="auto" w:fill="FFFFFF"/>
        </w:rPr>
        <w:t xml:space="preserve">, J., Simpson, D., </w:t>
      </w:r>
      <w:proofErr w:type="spellStart"/>
      <w:r w:rsidRPr="008C6C3E">
        <w:rPr>
          <w:color w:val="222222"/>
          <w:shd w:val="clear" w:color="auto" w:fill="FFFFFF"/>
        </w:rPr>
        <w:t>Vehtari</w:t>
      </w:r>
      <w:proofErr w:type="spellEnd"/>
      <w:r w:rsidRPr="008C6C3E">
        <w:rPr>
          <w:color w:val="222222"/>
          <w:shd w:val="clear" w:color="auto" w:fill="FFFFFF"/>
        </w:rPr>
        <w:t xml:space="preserve">, A., Betancourt, M., &amp; Gelman, A. (2019). Visualization in </w:t>
      </w:r>
      <w:r>
        <w:rPr>
          <w:color w:val="222222"/>
          <w:shd w:val="clear" w:color="auto" w:fill="FFFFFF"/>
        </w:rPr>
        <w:tab/>
      </w:r>
      <w:r w:rsidRPr="008C6C3E">
        <w:rPr>
          <w:color w:val="222222"/>
          <w:shd w:val="clear" w:color="auto" w:fill="FFFFFF"/>
        </w:rPr>
        <w:t>Bayesian workflow. </w:t>
      </w:r>
      <w:r w:rsidRPr="008C6C3E">
        <w:rPr>
          <w:i/>
          <w:iCs/>
          <w:color w:val="222222"/>
          <w:shd w:val="clear" w:color="auto" w:fill="FFFFFF"/>
        </w:rPr>
        <w:t xml:space="preserve">Journal of the Royal Statistical Society: Series A (Statistics in </w:t>
      </w:r>
      <w:r>
        <w:rPr>
          <w:i/>
          <w:iCs/>
          <w:color w:val="222222"/>
          <w:shd w:val="clear" w:color="auto" w:fill="FFFFFF"/>
        </w:rPr>
        <w:tab/>
      </w:r>
      <w:r w:rsidRPr="008C6C3E">
        <w:rPr>
          <w:i/>
          <w:iCs/>
          <w:color w:val="222222"/>
          <w:shd w:val="clear" w:color="auto" w:fill="FFFFFF"/>
        </w:rPr>
        <w:t>Society)</w:t>
      </w:r>
      <w:r w:rsidRPr="008C6C3E">
        <w:rPr>
          <w:color w:val="222222"/>
          <w:shd w:val="clear" w:color="auto" w:fill="FFFFFF"/>
        </w:rPr>
        <w:t>, </w:t>
      </w:r>
      <w:r w:rsidRPr="008C6C3E">
        <w:rPr>
          <w:i/>
          <w:iCs/>
          <w:color w:val="222222"/>
          <w:shd w:val="clear" w:color="auto" w:fill="FFFFFF"/>
        </w:rPr>
        <w:t>182</w:t>
      </w:r>
      <w:r w:rsidRPr="008C6C3E">
        <w:rPr>
          <w:color w:val="222222"/>
          <w:shd w:val="clear" w:color="auto" w:fill="FFFFFF"/>
        </w:rPr>
        <w:t>(2), 389-402.</w:t>
      </w:r>
    </w:p>
    <w:p w14:paraId="01428C38" w14:textId="77777777" w:rsidR="00834633" w:rsidRPr="008C6C3E" w:rsidRDefault="00834633" w:rsidP="00834633">
      <w:pPr>
        <w:spacing w:line="360" w:lineRule="auto"/>
        <w:rPr>
          <w:color w:val="222222"/>
          <w:shd w:val="clear" w:color="auto" w:fill="FFFFFF"/>
        </w:rPr>
      </w:pPr>
      <w:r w:rsidRPr="008C6C3E">
        <w:rPr>
          <w:color w:val="222222"/>
          <w:shd w:val="clear" w:color="auto" w:fill="FFFFFF"/>
        </w:rPr>
        <w:t xml:space="preserve">Gelman, A., Carlin, J. B., Stern, H. S., Dunson, D. B., </w:t>
      </w:r>
      <w:proofErr w:type="spellStart"/>
      <w:r w:rsidRPr="008C6C3E">
        <w:rPr>
          <w:color w:val="222222"/>
          <w:shd w:val="clear" w:color="auto" w:fill="FFFFFF"/>
        </w:rPr>
        <w:t>Vehtari</w:t>
      </w:r>
      <w:proofErr w:type="spellEnd"/>
      <w:r w:rsidRPr="008C6C3E">
        <w:rPr>
          <w:color w:val="222222"/>
          <w:shd w:val="clear" w:color="auto" w:fill="FFFFFF"/>
        </w:rPr>
        <w:t xml:space="preserve">, A., &amp; Rubin, D. B. </w:t>
      </w:r>
      <w:r>
        <w:rPr>
          <w:color w:val="222222"/>
          <w:shd w:val="clear" w:color="auto" w:fill="FFFFFF"/>
        </w:rPr>
        <w:tab/>
      </w:r>
      <w:r w:rsidRPr="008C6C3E">
        <w:rPr>
          <w:color w:val="222222"/>
          <w:shd w:val="clear" w:color="auto" w:fill="FFFFFF"/>
        </w:rPr>
        <w:t>(2013). </w:t>
      </w:r>
      <w:r w:rsidRPr="008C6C3E">
        <w:rPr>
          <w:i/>
          <w:iCs/>
          <w:color w:val="222222"/>
          <w:shd w:val="clear" w:color="auto" w:fill="FFFFFF"/>
        </w:rPr>
        <w:t>Bayesian data analysis</w:t>
      </w:r>
      <w:r w:rsidRPr="008C6C3E">
        <w:rPr>
          <w:color w:val="222222"/>
          <w:shd w:val="clear" w:color="auto" w:fill="FFFFFF"/>
        </w:rPr>
        <w:t>. CRC press.</w:t>
      </w:r>
    </w:p>
    <w:p w14:paraId="7109E19C" w14:textId="77777777" w:rsidR="00834633" w:rsidRPr="008C6C3E" w:rsidRDefault="00834633" w:rsidP="00834633">
      <w:pPr>
        <w:spacing w:line="360" w:lineRule="auto"/>
        <w:rPr>
          <w:color w:val="222222"/>
          <w:shd w:val="clear" w:color="auto" w:fill="FFFFFF"/>
        </w:rPr>
      </w:pPr>
      <w:r w:rsidRPr="008C6C3E">
        <w:rPr>
          <w:color w:val="222222"/>
          <w:shd w:val="clear" w:color="auto" w:fill="FFFFFF"/>
        </w:rPr>
        <w:t>Hobbs, N. T., &amp; Hooten, M. B. (2015). </w:t>
      </w:r>
      <w:r w:rsidRPr="008C6C3E">
        <w:rPr>
          <w:i/>
          <w:iCs/>
          <w:color w:val="222222"/>
          <w:shd w:val="clear" w:color="auto" w:fill="FFFFFF"/>
        </w:rPr>
        <w:t>Bayesian models: a statistical primer for ecologists</w:t>
      </w:r>
      <w:r w:rsidRPr="008C6C3E">
        <w:rPr>
          <w:color w:val="222222"/>
          <w:shd w:val="clear" w:color="auto" w:fill="FFFFFF"/>
        </w:rPr>
        <w:t xml:space="preserve">. </w:t>
      </w:r>
      <w:r>
        <w:rPr>
          <w:color w:val="222222"/>
          <w:shd w:val="clear" w:color="auto" w:fill="FFFFFF"/>
        </w:rPr>
        <w:tab/>
      </w:r>
      <w:r w:rsidRPr="008C6C3E">
        <w:rPr>
          <w:color w:val="222222"/>
          <w:shd w:val="clear" w:color="auto" w:fill="FFFFFF"/>
        </w:rPr>
        <w:t>Princeton University Press.</w:t>
      </w:r>
    </w:p>
    <w:p w14:paraId="23211064" w14:textId="77777777" w:rsidR="00834633" w:rsidRPr="00014EB4" w:rsidRDefault="00834633" w:rsidP="00834633">
      <w:pPr>
        <w:spacing w:line="360" w:lineRule="auto"/>
        <w:rPr>
          <w:lang w:val="en-GB"/>
        </w:rPr>
      </w:pPr>
      <w:r w:rsidRPr="008C6C3E">
        <w:rPr>
          <w:color w:val="222222"/>
          <w:shd w:val="clear" w:color="auto" w:fill="FFFFFF"/>
        </w:rPr>
        <w:t>Korner-</w:t>
      </w:r>
      <w:proofErr w:type="spellStart"/>
      <w:r w:rsidRPr="008C6C3E">
        <w:rPr>
          <w:color w:val="222222"/>
          <w:shd w:val="clear" w:color="auto" w:fill="FFFFFF"/>
        </w:rPr>
        <w:t>Nievergelt</w:t>
      </w:r>
      <w:proofErr w:type="spellEnd"/>
      <w:r w:rsidRPr="008C6C3E">
        <w:rPr>
          <w:color w:val="222222"/>
          <w:shd w:val="clear" w:color="auto" w:fill="FFFFFF"/>
        </w:rPr>
        <w:t xml:space="preserve">, F., Roth, T., Von </w:t>
      </w:r>
      <w:proofErr w:type="spellStart"/>
      <w:r w:rsidRPr="008C6C3E">
        <w:rPr>
          <w:color w:val="222222"/>
          <w:shd w:val="clear" w:color="auto" w:fill="FFFFFF"/>
        </w:rPr>
        <w:t>Felten</w:t>
      </w:r>
      <w:proofErr w:type="spellEnd"/>
      <w:r w:rsidRPr="008C6C3E">
        <w:rPr>
          <w:color w:val="222222"/>
          <w:shd w:val="clear" w:color="auto" w:fill="FFFFFF"/>
        </w:rPr>
        <w:t xml:space="preserve">, S., </w:t>
      </w:r>
      <w:proofErr w:type="spellStart"/>
      <w:r w:rsidRPr="008C6C3E">
        <w:rPr>
          <w:color w:val="222222"/>
          <w:shd w:val="clear" w:color="auto" w:fill="FFFFFF"/>
        </w:rPr>
        <w:t>Guélat</w:t>
      </w:r>
      <w:proofErr w:type="spellEnd"/>
      <w:r w:rsidRPr="008C6C3E">
        <w:rPr>
          <w:color w:val="222222"/>
          <w:shd w:val="clear" w:color="auto" w:fill="FFFFFF"/>
        </w:rPr>
        <w:t xml:space="preserve">, J., </w:t>
      </w:r>
      <w:proofErr w:type="spellStart"/>
      <w:r w:rsidRPr="008C6C3E">
        <w:rPr>
          <w:color w:val="222222"/>
          <w:shd w:val="clear" w:color="auto" w:fill="FFFFFF"/>
        </w:rPr>
        <w:t>Almasi</w:t>
      </w:r>
      <w:proofErr w:type="spellEnd"/>
      <w:r w:rsidRPr="008C6C3E">
        <w:rPr>
          <w:color w:val="222222"/>
          <w:shd w:val="clear" w:color="auto" w:fill="FFFFFF"/>
        </w:rPr>
        <w:t>, B., &amp; Korner-</w:t>
      </w:r>
      <w:proofErr w:type="spellStart"/>
      <w:r w:rsidRPr="008C6C3E">
        <w:rPr>
          <w:color w:val="222222"/>
          <w:shd w:val="clear" w:color="auto" w:fill="FFFFFF"/>
        </w:rPr>
        <w:t>Nievergelt</w:t>
      </w:r>
      <w:proofErr w:type="spellEnd"/>
      <w:r w:rsidRPr="008C6C3E">
        <w:rPr>
          <w:color w:val="222222"/>
          <w:shd w:val="clear" w:color="auto" w:fill="FFFFFF"/>
        </w:rPr>
        <w:t xml:space="preserve">, P. </w:t>
      </w:r>
      <w:r>
        <w:rPr>
          <w:color w:val="222222"/>
          <w:shd w:val="clear" w:color="auto" w:fill="FFFFFF"/>
        </w:rPr>
        <w:tab/>
      </w:r>
      <w:r w:rsidRPr="008C6C3E">
        <w:rPr>
          <w:color w:val="222222"/>
          <w:shd w:val="clear" w:color="auto" w:fill="FFFFFF"/>
        </w:rPr>
        <w:t>(2015). </w:t>
      </w:r>
      <w:r w:rsidRPr="008C6C3E">
        <w:rPr>
          <w:i/>
          <w:iCs/>
          <w:color w:val="222222"/>
          <w:shd w:val="clear" w:color="auto" w:fill="FFFFFF"/>
        </w:rPr>
        <w:t>Bayesian data analysis in ecology using linear models with R, BUGS, and Stan</w:t>
      </w:r>
      <w:r w:rsidRPr="008C6C3E">
        <w:rPr>
          <w:color w:val="222222"/>
          <w:shd w:val="clear" w:color="auto" w:fill="FFFFFF"/>
        </w:rPr>
        <w:t xml:space="preserve">. </w:t>
      </w:r>
      <w:r>
        <w:rPr>
          <w:color w:val="222222"/>
          <w:shd w:val="clear" w:color="auto" w:fill="FFFFFF"/>
        </w:rPr>
        <w:tab/>
      </w:r>
      <w:r w:rsidRPr="008C6C3E">
        <w:rPr>
          <w:color w:val="222222"/>
          <w:shd w:val="clear" w:color="auto" w:fill="FFFFFF"/>
        </w:rPr>
        <w:t>Academic Press.</w:t>
      </w:r>
    </w:p>
    <w:p w14:paraId="467E8EF0" w14:textId="77777777" w:rsidR="00834633" w:rsidRPr="00014EB4" w:rsidRDefault="00834633" w:rsidP="00834633">
      <w:pPr>
        <w:spacing w:line="360" w:lineRule="auto"/>
        <w:rPr>
          <w:lang w:val="en-GB"/>
        </w:rPr>
      </w:pPr>
      <w:proofErr w:type="spellStart"/>
      <w:r w:rsidRPr="008C6C3E">
        <w:rPr>
          <w:color w:val="222222"/>
          <w:shd w:val="clear" w:color="auto" w:fill="FFFFFF"/>
        </w:rPr>
        <w:t>McElreath</w:t>
      </w:r>
      <w:proofErr w:type="spellEnd"/>
      <w:r w:rsidRPr="008C6C3E">
        <w:rPr>
          <w:color w:val="222222"/>
          <w:shd w:val="clear" w:color="auto" w:fill="FFFFFF"/>
        </w:rPr>
        <w:t>, R. (2020). </w:t>
      </w:r>
      <w:r w:rsidRPr="008C6C3E">
        <w:rPr>
          <w:i/>
          <w:iCs/>
          <w:color w:val="222222"/>
          <w:shd w:val="clear" w:color="auto" w:fill="FFFFFF"/>
        </w:rPr>
        <w:t>Statistical rethinking: A Bayesian course with examples in R and Stan</w:t>
      </w:r>
      <w:r w:rsidRPr="008C6C3E">
        <w:rPr>
          <w:color w:val="222222"/>
          <w:shd w:val="clear" w:color="auto" w:fill="FFFFFF"/>
        </w:rPr>
        <w:t xml:space="preserve">. </w:t>
      </w:r>
      <w:r>
        <w:rPr>
          <w:color w:val="222222"/>
          <w:shd w:val="clear" w:color="auto" w:fill="FFFFFF"/>
        </w:rPr>
        <w:tab/>
      </w:r>
      <w:r w:rsidRPr="008C6C3E">
        <w:rPr>
          <w:color w:val="222222"/>
          <w:shd w:val="clear" w:color="auto" w:fill="FFFFFF"/>
        </w:rPr>
        <w:t>CRC press.</w:t>
      </w:r>
    </w:p>
    <w:p w14:paraId="280E6AC8" w14:textId="77777777" w:rsidR="00DD60F0" w:rsidRPr="00834633" w:rsidRDefault="00DD60F0" w:rsidP="00834633"/>
    <w:sectPr w:rsidR="00DD60F0" w:rsidRPr="00834633" w:rsidSect="003774C9">
      <w:footerReference w:type="even" r:id="rId11"/>
      <w:footerReference w:type="default" r:id="rId1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Wesner, Jeff S" w:date="2020-10-28T16:42:00Z" w:initials="WJS">
    <w:p w14:paraId="04409256" w14:textId="77777777" w:rsidR="00834633" w:rsidRDefault="00834633" w:rsidP="00834633">
      <w:pPr>
        <w:pStyle w:val="CommentText"/>
      </w:pPr>
      <w:r>
        <w:rPr>
          <w:rStyle w:val="CommentReference"/>
        </w:rPr>
        <w:annotationRef/>
      </w:r>
      <w:r>
        <w:t>Model is correct as of 10/28/2020</w:t>
      </w:r>
    </w:p>
  </w:comment>
  <w:comment w:id="1" w:author="Wesner, Jeff S" w:date="2020-10-28T16:42:00Z" w:initials="WJS">
    <w:p w14:paraId="3C3A993A" w14:textId="77777777" w:rsidR="00834633" w:rsidRDefault="00834633" w:rsidP="00834633">
      <w:pPr>
        <w:pStyle w:val="CommentText"/>
      </w:pPr>
      <w:r>
        <w:rPr>
          <w:rStyle w:val="CommentReference"/>
        </w:rPr>
        <w:annotationRef/>
      </w:r>
      <w:r>
        <w:t>Model is correct as of 10/28/2020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4409256" w15:done="0"/>
  <w15:commentEx w15:paraId="3C3A993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4409256" w16cid:durableId="23441DFC"/>
  <w16cid:commentId w16cid:paraId="3C3A993A" w16cid:durableId="23441E0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47584778"/>
      <w:docPartObj>
        <w:docPartGallery w:val="Page Numbers (Bottom of Page)"/>
        <w:docPartUnique/>
      </w:docPartObj>
    </w:sdtPr>
    <w:sdtEndPr>
      <w:rPr>
        <w:rStyle w:val="PageNumber"/>
      </w:rPr>
    </w:sdtEndPr>
    <w:sdtContent>
      <w:p w14:paraId="5C245865" w14:textId="77777777" w:rsidR="00F346C5" w:rsidRDefault="00BA5697" w:rsidP="00805CB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95FF068" w14:textId="77777777" w:rsidR="00F346C5" w:rsidRDefault="00BA5697" w:rsidP="00C1376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78542613"/>
      <w:docPartObj>
        <w:docPartGallery w:val="Page Numbers (Bottom of Page)"/>
        <w:docPartUnique/>
      </w:docPartObj>
    </w:sdtPr>
    <w:sdtEndPr>
      <w:rPr>
        <w:rStyle w:val="PageNumber"/>
      </w:rPr>
    </w:sdtEndPr>
    <w:sdtContent>
      <w:p w14:paraId="620B33BE" w14:textId="77777777" w:rsidR="00F346C5" w:rsidRDefault="00BA5697" w:rsidP="00805CB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2CCE70C" w14:textId="77777777" w:rsidR="00F346C5" w:rsidRDefault="00BA5697" w:rsidP="00C1376C">
    <w:pPr>
      <w:pStyle w:val="Footer"/>
      <w:ind w:right="360"/>
    </w:pPr>
  </w:p>
</w:ft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Wesner, Jeff S">
    <w15:presenceInfo w15:providerId="AD" w15:userId="S::Jeff.Wesner@usd.edu::03cd2d55-ec98-46a5-894b-dc5c67f932a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CC0"/>
    <w:rsid w:val="000B0E69"/>
    <w:rsid w:val="001E6629"/>
    <w:rsid w:val="003E1D4B"/>
    <w:rsid w:val="00482C0A"/>
    <w:rsid w:val="0057701C"/>
    <w:rsid w:val="00834633"/>
    <w:rsid w:val="0093206E"/>
    <w:rsid w:val="00BA5697"/>
    <w:rsid w:val="00C93CE2"/>
    <w:rsid w:val="00D14CC0"/>
    <w:rsid w:val="00D775F5"/>
    <w:rsid w:val="00DB268B"/>
    <w:rsid w:val="00DD60F0"/>
    <w:rsid w:val="00F26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C3F0F4"/>
  <w15:chartTrackingRefBased/>
  <w15:docId w15:val="{8D38AE1F-6627-8E48-B020-F021AE7E4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CC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14CC0"/>
    <w:pPr>
      <w:tabs>
        <w:tab w:val="center" w:pos="4680"/>
        <w:tab w:val="right" w:pos="9360"/>
      </w:tabs>
    </w:pPr>
  </w:style>
  <w:style w:type="character" w:customStyle="1" w:styleId="FooterChar">
    <w:name w:val="Footer Char"/>
    <w:basedOn w:val="DefaultParagraphFont"/>
    <w:link w:val="Footer"/>
    <w:uiPriority w:val="99"/>
    <w:rsid w:val="00D14CC0"/>
    <w:rPr>
      <w:rFonts w:ascii="Times New Roman" w:eastAsia="Times New Roman" w:hAnsi="Times New Roman" w:cs="Times New Roman"/>
    </w:rPr>
  </w:style>
  <w:style w:type="character" w:styleId="PageNumber">
    <w:name w:val="page number"/>
    <w:basedOn w:val="DefaultParagraphFont"/>
    <w:uiPriority w:val="99"/>
    <w:semiHidden/>
    <w:unhideWhenUsed/>
    <w:rsid w:val="00D14CC0"/>
  </w:style>
  <w:style w:type="character" w:styleId="LineNumber">
    <w:name w:val="line number"/>
    <w:basedOn w:val="DefaultParagraphFont"/>
    <w:uiPriority w:val="99"/>
    <w:semiHidden/>
    <w:unhideWhenUsed/>
    <w:rsid w:val="00D14CC0"/>
  </w:style>
  <w:style w:type="paragraph" w:styleId="BalloonText">
    <w:name w:val="Balloon Text"/>
    <w:basedOn w:val="Normal"/>
    <w:link w:val="BalloonTextChar"/>
    <w:uiPriority w:val="99"/>
    <w:semiHidden/>
    <w:unhideWhenUsed/>
    <w:rsid w:val="00F26041"/>
    <w:rPr>
      <w:sz w:val="18"/>
      <w:szCs w:val="18"/>
    </w:rPr>
  </w:style>
  <w:style w:type="character" w:customStyle="1" w:styleId="BalloonTextChar">
    <w:name w:val="Balloon Text Char"/>
    <w:basedOn w:val="DefaultParagraphFont"/>
    <w:link w:val="BalloonText"/>
    <w:uiPriority w:val="99"/>
    <w:semiHidden/>
    <w:rsid w:val="00F26041"/>
    <w:rPr>
      <w:rFonts w:ascii="Times New Roman" w:eastAsia="Times New Roman" w:hAnsi="Times New Roman" w:cs="Times New Roman"/>
      <w:sz w:val="18"/>
      <w:szCs w:val="18"/>
    </w:rPr>
  </w:style>
  <w:style w:type="paragraph" w:customStyle="1" w:styleId="BodyText">
    <w:name w:val="BodyText"/>
    <w:link w:val="BodyTextChar"/>
    <w:qFormat/>
    <w:rsid w:val="00834633"/>
    <w:pPr>
      <w:spacing w:after="120"/>
    </w:pPr>
    <w:rPr>
      <w:rFonts w:ascii="Calibri" w:eastAsia="Calibri" w:hAnsi="Calibri" w:cs="Times New Roman"/>
      <w:szCs w:val="22"/>
    </w:rPr>
  </w:style>
  <w:style w:type="character" w:customStyle="1" w:styleId="BodyTextChar">
    <w:name w:val="BodyText Char"/>
    <w:basedOn w:val="DefaultParagraphFont"/>
    <w:link w:val="BodyText"/>
    <w:rsid w:val="00834633"/>
    <w:rPr>
      <w:rFonts w:ascii="Calibri" w:eastAsia="Calibri" w:hAnsi="Calibri" w:cs="Times New Roman"/>
      <w:szCs w:val="22"/>
    </w:rPr>
  </w:style>
  <w:style w:type="character" w:styleId="CommentReference">
    <w:name w:val="annotation reference"/>
    <w:basedOn w:val="DefaultParagraphFont"/>
    <w:uiPriority w:val="99"/>
    <w:semiHidden/>
    <w:unhideWhenUsed/>
    <w:rsid w:val="00834633"/>
    <w:rPr>
      <w:sz w:val="18"/>
      <w:szCs w:val="18"/>
    </w:rPr>
  </w:style>
  <w:style w:type="paragraph" w:styleId="CommentText">
    <w:name w:val="annotation text"/>
    <w:basedOn w:val="Normal"/>
    <w:link w:val="CommentTextChar"/>
    <w:uiPriority w:val="99"/>
    <w:unhideWhenUsed/>
    <w:rsid w:val="00834633"/>
    <w:rPr>
      <w:rFonts w:asciiTheme="minorHAnsi" w:eastAsiaTheme="minorHAnsi" w:hAnsiTheme="minorHAnsi" w:cstheme="minorBidi"/>
    </w:rPr>
  </w:style>
  <w:style w:type="character" w:customStyle="1" w:styleId="CommentTextChar">
    <w:name w:val="Comment Text Char"/>
    <w:basedOn w:val="DefaultParagraphFont"/>
    <w:link w:val="CommentText"/>
    <w:uiPriority w:val="99"/>
    <w:rsid w:val="008346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footer" Target="footer1.xml"/><Relationship Id="rId5" Type="http://schemas.microsoft.com/office/2011/relationships/commentsExtended" Target="commentsExtended.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comments" Target="comments.xml"/><Relationship Id="rId9" Type="http://schemas.openxmlformats.org/officeDocument/2006/relationships/image" Target="media/image3.jpe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1480</Words>
  <Characters>8439</Characters>
  <Application>Microsoft Office Word</Application>
  <DocSecurity>0</DocSecurity>
  <Lines>70</Lines>
  <Paragraphs>19</Paragraphs>
  <ScaleCrop>false</ScaleCrop>
  <Company/>
  <LinksUpToDate>false</LinksUpToDate>
  <CharactersWithSpaces>9900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Liebl, Andrea L</dc:creator>
  <cp:keywords/>
  <dc:description/>
  <cp:lastModifiedBy>Liebl, Andrea L</cp:lastModifiedBy>
  <cp:revision>6</cp:revision>
  <dcterms:created xsi:type="dcterms:W3CDTF">2020-10-30T20:42:00Z</dcterms:created>
  <dcterms:modified xsi:type="dcterms:W3CDTF">2020-11-10T00:15:00Z</dcterms:modified>
</cp:coreProperties>
</file>