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B1972" w14:textId="290D0109" w:rsidR="003225E8" w:rsidRDefault="005A63DE">
      <w:pPr>
        <w:rPr>
          <w:rFonts w:ascii="Times New Roman" w:hAnsi="Times New Roman" w:cs="Times New Roman"/>
          <w:b/>
          <w:sz w:val="24"/>
          <w:szCs w:val="24"/>
        </w:rPr>
      </w:pPr>
      <w:r>
        <w:rPr>
          <w:rFonts w:ascii="Times New Roman" w:hAnsi="Times New Roman" w:cs="Times New Roman"/>
          <w:b/>
          <w:sz w:val="24"/>
          <w:szCs w:val="24"/>
        </w:rPr>
        <w:t>Analysis</w:t>
      </w:r>
    </w:p>
    <w:p w14:paraId="72ED907B" w14:textId="48FF13CC" w:rsidR="005A63DE" w:rsidRDefault="005A63DE">
      <w:pPr>
        <w:rPr>
          <w:rFonts w:ascii="Times New Roman" w:hAnsi="Times New Roman" w:cs="Times New Roman"/>
          <w:sz w:val="24"/>
          <w:szCs w:val="24"/>
        </w:rPr>
      </w:pPr>
      <w:commentRangeStart w:id="0"/>
      <w:r>
        <w:rPr>
          <w:rFonts w:ascii="Times New Roman" w:hAnsi="Times New Roman" w:cs="Times New Roman"/>
          <w:sz w:val="24"/>
          <w:szCs w:val="24"/>
        </w:rPr>
        <w:t xml:space="preserve">We </w:t>
      </w:r>
      <w:r w:rsidR="00561868">
        <w:rPr>
          <w:rFonts w:ascii="Times New Roman" w:hAnsi="Times New Roman" w:cs="Times New Roman"/>
          <w:sz w:val="24"/>
          <w:szCs w:val="24"/>
        </w:rPr>
        <w:t>estimated</w:t>
      </w:r>
      <w:r>
        <w:rPr>
          <w:rFonts w:ascii="Times New Roman" w:hAnsi="Times New Roman" w:cs="Times New Roman"/>
          <w:sz w:val="24"/>
          <w:szCs w:val="24"/>
        </w:rPr>
        <w:t xml:space="preserve"> the methylation response </w:t>
      </w:r>
      <w:commentRangeEnd w:id="0"/>
      <w:r w:rsidR="008C6E84">
        <w:rPr>
          <w:rStyle w:val="CommentReference"/>
        </w:rPr>
        <w:commentReference w:id="0"/>
      </w:r>
      <w:r>
        <w:rPr>
          <w:rFonts w:ascii="Times New Roman" w:hAnsi="Times New Roman" w:cs="Times New Roman"/>
          <w:sz w:val="24"/>
          <w:szCs w:val="24"/>
        </w:rPr>
        <w:t>to age and dispersal using a Bayesian generalized linear mixed model</w:t>
      </w:r>
      <w:r w:rsidR="008C6E84">
        <w:rPr>
          <w:rFonts w:ascii="Times New Roman" w:hAnsi="Times New Roman" w:cs="Times New Roman"/>
          <w:sz w:val="24"/>
          <w:szCs w:val="24"/>
        </w:rPr>
        <w:t xml:space="preserve"> (GLMM)</w:t>
      </w:r>
      <w:r>
        <w:rPr>
          <w:rFonts w:ascii="Times New Roman" w:hAnsi="Times New Roman" w:cs="Times New Roman"/>
          <w:sz w:val="24"/>
          <w:szCs w:val="24"/>
        </w:rPr>
        <w:t xml:space="preserve">. The likelihood was beta with a logit link because the data were proportions. The response variable was </w:t>
      </w:r>
      <w:r w:rsidR="00164FE2">
        <w:rPr>
          <w:rFonts w:ascii="Times New Roman" w:hAnsi="Times New Roman" w:cs="Times New Roman"/>
          <w:sz w:val="24"/>
          <w:szCs w:val="24"/>
        </w:rPr>
        <w:t>proportion</w:t>
      </w:r>
      <w:r>
        <w:rPr>
          <w:rFonts w:ascii="Times New Roman" w:hAnsi="Times New Roman" w:cs="Times New Roman"/>
          <w:sz w:val="24"/>
          <w:szCs w:val="24"/>
        </w:rPr>
        <w:t xml:space="preserve"> methylation, the predictor variables were age, dispersal, and their interaction, and bird id was a random intercept. </w:t>
      </w:r>
    </w:p>
    <w:p w14:paraId="33FF1B06" w14:textId="401C7A2A" w:rsidR="008C6E84" w:rsidRDefault="008C6E84">
      <w:pPr>
        <w:rPr>
          <w:rFonts w:ascii="Times New Roman" w:hAnsi="Times New Roman" w:cs="Times New Roman"/>
          <w:sz w:val="24"/>
          <w:szCs w:val="24"/>
        </w:rPr>
      </w:pPr>
      <w:r>
        <w:rPr>
          <w:rFonts w:ascii="Times New Roman" w:hAnsi="Times New Roman" w:cs="Times New Roman"/>
          <w:sz w:val="24"/>
          <w:szCs w:val="24"/>
        </w:rPr>
        <w:t xml:space="preserve">To </w:t>
      </w:r>
      <w:r w:rsidR="005A02FD">
        <w:rPr>
          <w:rFonts w:ascii="Times New Roman" w:hAnsi="Times New Roman" w:cs="Times New Roman"/>
          <w:sz w:val="24"/>
          <w:szCs w:val="24"/>
        </w:rPr>
        <w:t>compare the number of genes that changed methylation states across treatments</w:t>
      </w:r>
      <w:r>
        <w:rPr>
          <w:rFonts w:ascii="Times New Roman" w:hAnsi="Times New Roman" w:cs="Times New Roman"/>
          <w:sz w:val="24"/>
          <w:szCs w:val="24"/>
        </w:rPr>
        <w:t xml:space="preserve">, we used a GLMM with a </w:t>
      </w:r>
      <w:r w:rsidR="005A02FD">
        <w:rPr>
          <w:rFonts w:ascii="Times New Roman" w:hAnsi="Times New Roman" w:cs="Times New Roman"/>
          <w:sz w:val="24"/>
          <w:szCs w:val="24"/>
        </w:rPr>
        <w:t xml:space="preserve">Gamma </w:t>
      </w:r>
      <w:r>
        <w:rPr>
          <w:rFonts w:ascii="Times New Roman" w:hAnsi="Times New Roman" w:cs="Times New Roman"/>
          <w:sz w:val="24"/>
          <w:szCs w:val="24"/>
        </w:rPr>
        <w:t xml:space="preserve">likelihood and </w:t>
      </w:r>
      <w:r w:rsidR="005A02FD">
        <w:rPr>
          <w:rFonts w:ascii="Times New Roman" w:hAnsi="Times New Roman" w:cs="Times New Roman"/>
          <w:sz w:val="24"/>
          <w:szCs w:val="24"/>
        </w:rPr>
        <w:t>log</w:t>
      </w:r>
      <w:r>
        <w:rPr>
          <w:rFonts w:ascii="Times New Roman" w:hAnsi="Times New Roman" w:cs="Times New Roman"/>
          <w:sz w:val="24"/>
          <w:szCs w:val="24"/>
        </w:rPr>
        <w:t xml:space="preserve"> link, because the data were continuous </w:t>
      </w:r>
      <w:r w:rsidR="005A02FD">
        <w:rPr>
          <w:rFonts w:ascii="Times New Roman" w:hAnsi="Times New Roman" w:cs="Times New Roman"/>
          <w:sz w:val="24"/>
          <w:szCs w:val="24"/>
        </w:rPr>
        <w:t>non-negative</w:t>
      </w:r>
      <w:r>
        <w:rPr>
          <w:rFonts w:ascii="Times New Roman" w:hAnsi="Times New Roman" w:cs="Times New Roman"/>
          <w:sz w:val="24"/>
          <w:szCs w:val="24"/>
        </w:rPr>
        <w:t xml:space="preserve">. The response variable was </w:t>
      </w:r>
      <w:r w:rsidR="005A02FD">
        <w:rPr>
          <w:rFonts w:ascii="Times New Roman" w:hAnsi="Times New Roman" w:cs="Times New Roman"/>
          <w:sz w:val="24"/>
          <w:szCs w:val="24"/>
        </w:rPr>
        <w:t>the number of genes and the predictor variables were the direction of methylation change during age transitions (no change, gain of methylation, loss of methylation), bird behavior (dispersed or natal), and age transition (hatchling to fledgling or fledgling to adult).</w:t>
      </w:r>
    </w:p>
    <w:p w14:paraId="072D541C" w14:textId="63F7A6C6" w:rsidR="005A63DE" w:rsidRDefault="005A63DE">
      <w:pPr>
        <w:rPr>
          <w:rFonts w:ascii="Times New Roman" w:hAnsi="Times New Roman" w:cs="Times New Roman"/>
          <w:sz w:val="24"/>
          <w:szCs w:val="24"/>
        </w:rPr>
      </w:pPr>
      <w:r>
        <w:rPr>
          <w:rFonts w:ascii="Times New Roman" w:hAnsi="Times New Roman" w:cs="Times New Roman"/>
          <w:sz w:val="24"/>
          <w:szCs w:val="24"/>
        </w:rPr>
        <w:tab/>
        <w:t xml:space="preserve">We fit </w:t>
      </w:r>
      <w:r w:rsidR="005A02FD">
        <w:rPr>
          <w:rFonts w:ascii="Times New Roman" w:hAnsi="Times New Roman" w:cs="Times New Roman"/>
          <w:sz w:val="24"/>
          <w:szCs w:val="24"/>
        </w:rPr>
        <w:t>each</w:t>
      </w:r>
      <w:r>
        <w:rPr>
          <w:rFonts w:ascii="Times New Roman" w:hAnsi="Times New Roman" w:cs="Times New Roman"/>
          <w:sz w:val="24"/>
          <w:szCs w:val="24"/>
        </w:rPr>
        <w:t xml:space="preserve"> model using the </w:t>
      </w:r>
      <w:r>
        <w:rPr>
          <w:rFonts w:ascii="Times New Roman" w:hAnsi="Times New Roman" w:cs="Times New Roman"/>
          <w:i/>
          <w:sz w:val="24"/>
          <w:szCs w:val="24"/>
        </w:rPr>
        <w:t>brms</w:t>
      </w:r>
      <w:r>
        <w:rPr>
          <w:rFonts w:ascii="Times New Roman" w:hAnsi="Times New Roman" w:cs="Times New Roman"/>
          <w:sz w:val="24"/>
          <w:szCs w:val="24"/>
        </w:rPr>
        <w:t xml:space="preserve"> package (</w:t>
      </w:r>
      <w:proofErr w:type="spellStart"/>
      <w:r w:rsidRPr="00227204">
        <w:rPr>
          <w:rFonts w:ascii="Times New Roman" w:hAnsi="Times New Roman" w:cs="Times New Roman"/>
          <w:sz w:val="24"/>
          <w:szCs w:val="24"/>
        </w:rPr>
        <w:t>Bürkner</w:t>
      </w:r>
      <w:proofErr w:type="spellEnd"/>
      <w:r w:rsidRPr="00227204" w:rsidDel="00EB45A6">
        <w:rPr>
          <w:rFonts w:ascii="Times New Roman" w:hAnsi="Times New Roman" w:cs="Times New Roman"/>
          <w:i/>
          <w:sz w:val="24"/>
          <w:szCs w:val="24"/>
        </w:rPr>
        <w:t xml:space="preserve"> </w:t>
      </w:r>
      <w:r>
        <w:rPr>
          <w:rFonts w:ascii="Times New Roman" w:hAnsi="Times New Roman" w:cs="Times New Roman"/>
          <w:sz w:val="24"/>
          <w:szCs w:val="24"/>
        </w:rPr>
        <w:t xml:space="preserve">2018) </w:t>
      </w:r>
      <w:r w:rsidR="005A02FD">
        <w:rPr>
          <w:rFonts w:ascii="Times New Roman" w:hAnsi="Times New Roman" w:cs="Times New Roman"/>
          <w:sz w:val="24"/>
          <w:szCs w:val="24"/>
        </w:rPr>
        <w:t>in R (</w:t>
      </w:r>
      <w:commentRangeStart w:id="1"/>
      <w:r w:rsidR="005A02FD">
        <w:rPr>
          <w:rFonts w:ascii="Times New Roman" w:hAnsi="Times New Roman" w:cs="Times New Roman"/>
          <w:sz w:val="24"/>
          <w:szCs w:val="24"/>
        </w:rPr>
        <w:t>R Core Team 2019</w:t>
      </w:r>
      <w:commentRangeEnd w:id="1"/>
      <w:r w:rsidR="005A02FD">
        <w:rPr>
          <w:rStyle w:val="CommentReference"/>
        </w:rPr>
        <w:commentReference w:id="1"/>
      </w:r>
      <w:r w:rsidR="005A02FD">
        <w:rPr>
          <w:rFonts w:ascii="Times New Roman" w:hAnsi="Times New Roman" w:cs="Times New Roman"/>
          <w:sz w:val="24"/>
          <w:szCs w:val="24"/>
        </w:rPr>
        <w:t xml:space="preserve">) </w:t>
      </w:r>
      <w:r>
        <w:rPr>
          <w:rFonts w:ascii="Times New Roman" w:hAnsi="Times New Roman" w:cs="Times New Roman"/>
          <w:sz w:val="24"/>
          <w:szCs w:val="24"/>
        </w:rPr>
        <w:t xml:space="preserve">via Hamiltonian Monte Carlo in </w:t>
      </w:r>
      <w:commentRangeStart w:id="2"/>
      <w:proofErr w:type="spellStart"/>
      <w:r>
        <w:rPr>
          <w:rFonts w:ascii="Times New Roman" w:hAnsi="Times New Roman" w:cs="Times New Roman"/>
          <w:i/>
          <w:sz w:val="24"/>
          <w:szCs w:val="24"/>
        </w:rPr>
        <w:t>rstan</w:t>
      </w:r>
      <w:commentRangeEnd w:id="2"/>
      <w:proofErr w:type="spellEnd"/>
      <w:r>
        <w:rPr>
          <w:rStyle w:val="CommentReference"/>
        </w:rPr>
        <w:commentReference w:id="2"/>
      </w:r>
      <w:r>
        <w:rPr>
          <w:rFonts w:ascii="Times New Roman" w:hAnsi="Times New Roman" w:cs="Times New Roman"/>
          <w:sz w:val="24"/>
          <w:szCs w:val="24"/>
        </w:rPr>
        <w:t xml:space="preserve"> (Stan Development Team 2019). We ran four chains of 2000 iterations each. The first 1000 iterations </w:t>
      </w:r>
      <w:r w:rsidR="005A02FD">
        <w:rPr>
          <w:rFonts w:ascii="Times New Roman" w:hAnsi="Times New Roman" w:cs="Times New Roman"/>
          <w:sz w:val="24"/>
          <w:szCs w:val="24"/>
        </w:rPr>
        <w:t xml:space="preserve">were </w:t>
      </w:r>
      <w:r>
        <w:rPr>
          <w:rFonts w:ascii="Times New Roman" w:hAnsi="Times New Roman" w:cs="Times New Roman"/>
          <w:sz w:val="24"/>
          <w:szCs w:val="24"/>
        </w:rPr>
        <w:t xml:space="preserve">discarded as warmup in each chain. We used posterior predictive </w:t>
      </w:r>
      <w:commentRangeStart w:id="3"/>
      <w:r>
        <w:rPr>
          <w:rFonts w:ascii="Times New Roman" w:hAnsi="Times New Roman" w:cs="Times New Roman"/>
          <w:sz w:val="24"/>
          <w:szCs w:val="24"/>
        </w:rPr>
        <w:t>checks</w:t>
      </w:r>
      <w:commentRangeEnd w:id="3"/>
      <w:r>
        <w:rPr>
          <w:rStyle w:val="CommentReference"/>
        </w:rPr>
        <w:commentReference w:id="3"/>
      </w:r>
      <w:r>
        <w:rPr>
          <w:rFonts w:ascii="Times New Roman" w:hAnsi="Times New Roman" w:cs="Times New Roman"/>
          <w:sz w:val="24"/>
          <w:szCs w:val="24"/>
        </w:rPr>
        <w:t xml:space="preserve"> (Conn et al. 2018) to test model performance and checked chains for convergence by ensuring that r-hats were &lt; 1.1. </w:t>
      </w:r>
      <w:r w:rsidR="005A02FD">
        <w:rPr>
          <w:rFonts w:ascii="Times New Roman" w:hAnsi="Times New Roman" w:cs="Times New Roman"/>
          <w:sz w:val="24"/>
          <w:szCs w:val="24"/>
        </w:rPr>
        <w:t xml:space="preserve">Prior values for all parameters were chosen using prior predictive checks to ensure that prior predictions from the model generated reasonable upper and lower bounds of the outcome variable. For the model of methylation response, priors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2) for the intercept,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1) for the betas, and Cauchy(0, 1) for the standard deviation. For the number of genes model, priors were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w:t>
      </w:r>
      <w:r w:rsidR="00D84949">
        <w:rPr>
          <w:rFonts w:ascii="Times New Roman" w:hAnsi="Times New Roman" w:cs="Times New Roman"/>
          <w:sz w:val="24"/>
          <w:szCs w:val="24"/>
        </w:rPr>
        <w:t>6</w:t>
      </w:r>
      <w:r w:rsidR="005A02FD">
        <w:rPr>
          <w:rFonts w:ascii="Times New Roman" w:hAnsi="Times New Roman" w:cs="Times New Roman"/>
          <w:sz w:val="24"/>
          <w:szCs w:val="24"/>
        </w:rPr>
        <w:t xml:space="preserve">) </w:t>
      </w:r>
      <w:r w:rsidR="005A02FD">
        <w:rPr>
          <w:rFonts w:ascii="Times New Roman" w:hAnsi="Times New Roman" w:cs="Times New Roman"/>
          <w:sz w:val="24"/>
          <w:szCs w:val="24"/>
        </w:rPr>
        <w:t xml:space="preserve">for the intercept,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(0, 1) </w:t>
      </w:r>
      <w:r w:rsidR="005A02FD">
        <w:rPr>
          <w:rFonts w:ascii="Times New Roman" w:hAnsi="Times New Roman" w:cs="Times New Roman"/>
          <w:sz w:val="24"/>
          <w:szCs w:val="24"/>
        </w:rPr>
        <w:t>for the betas, and Cauchy(0, 1)</w:t>
      </w:r>
      <w:r w:rsidR="00D84949">
        <w:rPr>
          <w:rFonts w:ascii="Times New Roman" w:hAnsi="Times New Roman" w:cs="Times New Roman"/>
          <w:sz w:val="24"/>
          <w:szCs w:val="24"/>
        </w:rPr>
        <w:t xml:space="preserve">. </w:t>
      </w:r>
      <w:r>
        <w:rPr>
          <w:rFonts w:ascii="Times New Roman" w:hAnsi="Times New Roman" w:cs="Times New Roman"/>
          <w:sz w:val="24"/>
          <w:szCs w:val="24"/>
        </w:rPr>
        <w:t>All data and accompanying code</w:t>
      </w:r>
      <w:r w:rsidRPr="0080754D">
        <w:rPr>
          <w:rFonts w:ascii="Times New Roman" w:hAnsi="Times New Roman" w:cs="Times New Roman"/>
          <w:sz w:val="24"/>
          <w:szCs w:val="24"/>
        </w:rPr>
        <w:t xml:space="preserve"> are available at</w:t>
      </w:r>
      <w:r>
        <w:rPr>
          <w:rFonts w:ascii="Times New Roman" w:hAnsi="Times New Roman" w:cs="Times New Roman"/>
          <w:sz w:val="24"/>
          <w:szCs w:val="24"/>
        </w:rPr>
        <w:t xml:space="preserve"> </w:t>
      </w:r>
      <w:hyperlink r:id="rId7" w:history="1">
        <w:r w:rsidRPr="005A63DE">
          <w:rPr>
            <w:rStyle w:val="Hyperlink"/>
            <w:rFonts w:ascii="Times New Roman" w:hAnsi="Times New Roman" w:cs="Times New Roman"/>
            <w:sz w:val="24"/>
            <w:szCs w:val="24"/>
          </w:rPr>
          <w:t>https://github.com/jswesner/liebl_birds</w:t>
        </w:r>
      </w:hyperlink>
      <w:r>
        <w:rPr>
          <w:rFonts w:ascii="Times New Roman" w:hAnsi="Times New Roman" w:cs="Times New Roman"/>
          <w:sz w:val="24"/>
          <w:szCs w:val="24"/>
        </w:rPr>
        <w:t>.</w:t>
      </w:r>
    </w:p>
    <w:p w14:paraId="6D35234C" w14:textId="2A981186" w:rsidR="005A63DE" w:rsidRDefault="005A63DE">
      <w:pPr>
        <w:rPr>
          <w:rFonts w:ascii="Times New Roman" w:hAnsi="Times New Roman" w:cs="Times New Roman"/>
          <w:sz w:val="24"/>
          <w:szCs w:val="24"/>
        </w:rPr>
      </w:pPr>
    </w:p>
    <w:p w14:paraId="26E4FF59" w14:textId="0104A3C6" w:rsidR="005A63DE" w:rsidRDefault="005A63DE">
      <w:pPr>
        <w:rPr>
          <w:rFonts w:ascii="Times New Roman" w:hAnsi="Times New Roman" w:cs="Times New Roman"/>
          <w:b/>
          <w:sz w:val="24"/>
          <w:szCs w:val="24"/>
        </w:rPr>
      </w:pPr>
      <w:r>
        <w:rPr>
          <w:rFonts w:ascii="Times New Roman" w:hAnsi="Times New Roman" w:cs="Times New Roman"/>
          <w:b/>
          <w:sz w:val="24"/>
          <w:szCs w:val="24"/>
        </w:rPr>
        <w:t>Results</w:t>
      </w:r>
    </w:p>
    <w:p w14:paraId="7532432B" w14:textId="22DB5782" w:rsidR="00B4301F" w:rsidRPr="00B4301F" w:rsidRDefault="00B4301F">
      <w:pPr>
        <w:rPr>
          <w:rFonts w:ascii="Times New Roman" w:hAnsi="Times New Roman" w:cs="Times New Roman"/>
          <w:i/>
          <w:sz w:val="24"/>
          <w:szCs w:val="24"/>
        </w:rPr>
      </w:pPr>
      <w:r>
        <w:rPr>
          <w:rFonts w:ascii="Times New Roman" w:hAnsi="Times New Roman" w:cs="Times New Roman"/>
          <w:i/>
          <w:sz w:val="24"/>
          <w:szCs w:val="24"/>
        </w:rPr>
        <w:t>Methylation response</w:t>
      </w:r>
    </w:p>
    <w:p w14:paraId="2A0B9EE0" w14:textId="483D5D54" w:rsidR="005A63DE" w:rsidRPr="00E03CBD" w:rsidRDefault="00E03CBD">
      <w:pPr>
        <w:rPr>
          <w:rFonts w:ascii="Times New Roman" w:hAnsi="Times New Roman" w:cs="Times New Roman"/>
          <w:sz w:val="24"/>
          <w:szCs w:val="24"/>
        </w:rPr>
      </w:pPr>
      <w:r>
        <w:rPr>
          <w:rFonts w:ascii="Times New Roman" w:hAnsi="Times New Roman" w:cs="Times New Roman"/>
          <w:sz w:val="24"/>
          <w:szCs w:val="24"/>
        </w:rPr>
        <w:t>D and N were had similar methylation in the hatchling stage. The proportion of methylated genes averaged 0.</w:t>
      </w:r>
      <w:r w:rsidR="00164FE2">
        <w:rPr>
          <w:rFonts w:ascii="Times New Roman" w:hAnsi="Times New Roman" w:cs="Times New Roman"/>
          <w:sz w:val="24"/>
          <w:szCs w:val="24"/>
        </w:rPr>
        <w:t xml:space="preserve">8 </w:t>
      </w:r>
      <w:r>
        <w:rPr>
          <w:rFonts w:ascii="Times New Roman" w:hAnsi="Times New Roman" w:cs="Times New Roman"/>
          <w:sz w:val="24"/>
          <w:szCs w:val="24"/>
        </w:rPr>
        <w:t>+/- 0.</w:t>
      </w:r>
      <w:r w:rsidR="00164FE2">
        <w:rPr>
          <w:rFonts w:ascii="Times New Roman" w:hAnsi="Times New Roman" w:cs="Times New Roman"/>
          <w:sz w:val="24"/>
          <w:szCs w:val="24"/>
        </w:rPr>
        <w:t>0</w:t>
      </w:r>
      <w:r>
        <w:rPr>
          <w:rFonts w:ascii="Times New Roman" w:hAnsi="Times New Roman" w:cs="Times New Roman"/>
          <w:sz w:val="24"/>
          <w:szCs w:val="24"/>
        </w:rPr>
        <w:t>3 (mean and sd of the posterior distribution) in D while N averaged 0.</w:t>
      </w:r>
      <w:r w:rsidR="00164FE2">
        <w:rPr>
          <w:rFonts w:ascii="Times New Roman" w:hAnsi="Times New Roman" w:cs="Times New Roman"/>
          <w:sz w:val="24"/>
          <w:szCs w:val="24"/>
        </w:rPr>
        <w:t>81</w:t>
      </w:r>
      <w:r>
        <w:rPr>
          <w:rFonts w:ascii="Times New Roman" w:hAnsi="Times New Roman" w:cs="Times New Roman"/>
          <w:sz w:val="24"/>
          <w:szCs w:val="24"/>
        </w:rPr>
        <w:t xml:space="preserve"> +/- 0.</w:t>
      </w:r>
      <w:r w:rsidR="00164FE2">
        <w:rPr>
          <w:rFonts w:ascii="Times New Roman" w:hAnsi="Times New Roman" w:cs="Times New Roman"/>
          <w:sz w:val="24"/>
          <w:szCs w:val="24"/>
        </w:rPr>
        <w:t>0</w:t>
      </w:r>
      <w:r>
        <w:rPr>
          <w:rFonts w:ascii="Times New Roman" w:hAnsi="Times New Roman" w:cs="Times New Roman"/>
          <w:sz w:val="24"/>
          <w:szCs w:val="24"/>
        </w:rPr>
        <w:t>3 (Table X). In contrast, at the fledgling stage D averaged 0.</w:t>
      </w:r>
      <w:r w:rsidR="00164FE2">
        <w:rPr>
          <w:rFonts w:ascii="Times New Roman" w:hAnsi="Times New Roman" w:cs="Times New Roman"/>
          <w:sz w:val="24"/>
          <w:szCs w:val="24"/>
        </w:rPr>
        <w:t>76</w:t>
      </w:r>
      <w:r>
        <w:rPr>
          <w:rFonts w:ascii="Times New Roman" w:hAnsi="Times New Roman" w:cs="Times New Roman"/>
          <w:sz w:val="24"/>
          <w:szCs w:val="24"/>
        </w:rPr>
        <w:t xml:space="preserve"> +/- 0.</w:t>
      </w:r>
      <w:r w:rsidR="00164FE2">
        <w:rPr>
          <w:rFonts w:ascii="Times New Roman" w:hAnsi="Times New Roman" w:cs="Times New Roman"/>
          <w:sz w:val="24"/>
          <w:szCs w:val="24"/>
        </w:rPr>
        <w:t>0</w:t>
      </w:r>
      <w:r>
        <w:rPr>
          <w:rFonts w:ascii="Times New Roman" w:hAnsi="Times New Roman" w:cs="Times New Roman"/>
          <w:sz w:val="24"/>
          <w:szCs w:val="24"/>
        </w:rPr>
        <w:t>3 compared to 0.</w:t>
      </w:r>
      <w:r w:rsidR="00164FE2">
        <w:rPr>
          <w:rFonts w:ascii="Times New Roman" w:hAnsi="Times New Roman" w:cs="Times New Roman"/>
          <w:sz w:val="24"/>
          <w:szCs w:val="24"/>
        </w:rPr>
        <w:t>84</w:t>
      </w:r>
      <w:r>
        <w:rPr>
          <w:rFonts w:ascii="Times New Roman" w:hAnsi="Times New Roman" w:cs="Times New Roman"/>
          <w:sz w:val="24"/>
          <w:szCs w:val="24"/>
        </w:rPr>
        <w:t xml:space="preserve"> +/- 0.</w:t>
      </w:r>
      <w:r w:rsidR="00164FE2">
        <w:rPr>
          <w:rFonts w:ascii="Times New Roman" w:hAnsi="Times New Roman" w:cs="Times New Roman"/>
          <w:sz w:val="24"/>
          <w:szCs w:val="24"/>
        </w:rPr>
        <w:t>0</w:t>
      </w:r>
      <w:r>
        <w:rPr>
          <w:rFonts w:ascii="Times New Roman" w:hAnsi="Times New Roman" w:cs="Times New Roman"/>
          <w:sz w:val="24"/>
          <w:szCs w:val="24"/>
        </w:rPr>
        <w:t xml:space="preserve">3 for N (Figure X). This corresponded to a mean difference of 0.08 +/- 0.04 (95% </w:t>
      </w:r>
      <w:proofErr w:type="spellStart"/>
      <w:r>
        <w:rPr>
          <w:rFonts w:ascii="Times New Roman" w:hAnsi="Times New Roman" w:cs="Times New Roman"/>
          <w:sz w:val="24"/>
          <w:szCs w:val="24"/>
        </w:rPr>
        <w:t>CrI</w:t>
      </w:r>
      <w:proofErr w:type="spellEnd"/>
      <w:r>
        <w:rPr>
          <w:rFonts w:ascii="Times New Roman" w:hAnsi="Times New Roman" w:cs="Times New Roman"/>
          <w:sz w:val="24"/>
          <w:szCs w:val="24"/>
        </w:rPr>
        <w:t>: -0.0</w:t>
      </w:r>
      <w:r w:rsidR="00164FE2">
        <w:rPr>
          <w:rFonts w:ascii="Times New Roman" w:hAnsi="Times New Roman" w:cs="Times New Roman"/>
          <w:sz w:val="24"/>
          <w:szCs w:val="24"/>
        </w:rPr>
        <w:t>4</w:t>
      </w:r>
      <w:r>
        <w:rPr>
          <w:rFonts w:ascii="Times New Roman" w:hAnsi="Times New Roman" w:cs="Times New Roman"/>
          <w:sz w:val="24"/>
          <w:szCs w:val="24"/>
        </w:rPr>
        <w:t xml:space="preserve"> to 0.17), with a 97% probability that </w:t>
      </w:r>
      <w:r w:rsidR="00164FE2">
        <w:rPr>
          <w:rFonts w:ascii="Times New Roman" w:hAnsi="Times New Roman" w:cs="Times New Roman"/>
          <w:sz w:val="24"/>
          <w:szCs w:val="24"/>
        </w:rPr>
        <w:t>N</w:t>
      </w:r>
      <w:r>
        <w:rPr>
          <w:rFonts w:ascii="Times New Roman" w:hAnsi="Times New Roman" w:cs="Times New Roman"/>
          <w:sz w:val="24"/>
          <w:szCs w:val="24"/>
        </w:rPr>
        <w:t xml:space="preserve"> had higher methylation than </w:t>
      </w:r>
      <w:r w:rsidR="00164FE2">
        <w:rPr>
          <w:rFonts w:ascii="Times New Roman" w:hAnsi="Times New Roman" w:cs="Times New Roman"/>
          <w:sz w:val="24"/>
          <w:szCs w:val="24"/>
        </w:rPr>
        <w:t>D</w:t>
      </w:r>
      <w:r>
        <w:rPr>
          <w:rFonts w:ascii="Times New Roman" w:hAnsi="Times New Roman" w:cs="Times New Roman"/>
          <w:sz w:val="24"/>
          <w:szCs w:val="24"/>
        </w:rPr>
        <w:t>. By the adult stage, this difference disappeared, with D averaging 0.</w:t>
      </w:r>
      <w:r w:rsidR="00164FE2">
        <w:rPr>
          <w:rFonts w:ascii="Times New Roman" w:hAnsi="Times New Roman" w:cs="Times New Roman"/>
          <w:sz w:val="24"/>
          <w:szCs w:val="24"/>
        </w:rPr>
        <w:t>77</w:t>
      </w:r>
      <w:r>
        <w:rPr>
          <w:rFonts w:ascii="Times New Roman" w:hAnsi="Times New Roman" w:cs="Times New Roman"/>
          <w:sz w:val="24"/>
          <w:szCs w:val="24"/>
        </w:rPr>
        <w:t xml:space="preserve"> +/- 0.03 compared to </w:t>
      </w:r>
      <w:r w:rsidR="00164FE2">
        <w:rPr>
          <w:rFonts w:ascii="Times New Roman" w:hAnsi="Times New Roman" w:cs="Times New Roman"/>
          <w:sz w:val="24"/>
          <w:szCs w:val="24"/>
        </w:rPr>
        <w:t>0.74</w:t>
      </w:r>
      <w:r>
        <w:rPr>
          <w:rFonts w:ascii="Times New Roman" w:hAnsi="Times New Roman" w:cs="Times New Roman"/>
          <w:sz w:val="24"/>
          <w:szCs w:val="24"/>
        </w:rPr>
        <w:t xml:space="preserve"> +/- 0.03 for N.  </w:t>
      </w:r>
    </w:p>
    <w:p w14:paraId="53A535AD" w14:textId="18625001" w:rsidR="005A63DE" w:rsidRPr="00B4301F" w:rsidRDefault="00B4301F">
      <w:pPr>
        <w:rPr>
          <w:rFonts w:ascii="Times New Roman" w:hAnsi="Times New Roman" w:cs="Times New Roman"/>
          <w:i/>
          <w:sz w:val="24"/>
          <w:szCs w:val="24"/>
        </w:rPr>
      </w:pPr>
      <w:r>
        <w:rPr>
          <w:rFonts w:ascii="Times New Roman" w:hAnsi="Times New Roman" w:cs="Times New Roman"/>
          <w:i/>
          <w:sz w:val="24"/>
          <w:szCs w:val="24"/>
        </w:rPr>
        <w:t>Change in methylation</w:t>
      </w:r>
    </w:p>
    <w:p w14:paraId="6A85808D" w14:textId="317D4449" w:rsidR="005A63DE" w:rsidRPr="00B4301F" w:rsidRDefault="00B4301F">
      <w:pPr>
        <w:rPr>
          <w:rFonts w:ascii="Times New Roman" w:hAnsi="Times New Roman" w:cs="Times New Roman"/>
          <w:sz w:val="24"/>
          <w:szCs w:val="24"/>
        </w:rPr>
      </w:pPr>
      <w:r>
        <w:rPr>
          <w:rFonts w:ascii="Times New Roman" w:hAnsi="Times New Roman" w:cs="Times New Roman"/>
          <w:sz w:val="24"/>
          <w:szCs w:val="24"/>
        </w:rPr>
        <w:t>Across the 122,970 tested genes, most did not change methylation status across age transitions and remained similar between behavior types (Figure X2). Among the remaining genes, the number that either gained or lost methylation were higher in dispersers than in natal birds, particularly during the hatchling to fledgling transition</w:t>
      </w:r>
      <w:r w:rsidR="007A2717">
        <w:rPr>
          <w:rFonts w:ascii="Times New Roman" w:hAnsi="Times New Roman" w:cs="Times New Roman"/>
          <w:sz w:val="24"/>
          <w:szCs w:val="24"/>
        </w:rPr>
        <w:t xml:space="preserve"> (Table X2)</w:t>
      </w:r>
      <w:r>
        <w:rPr>
          <w:rFonts w:ascii="Times New Roman" w:hAnsi="Times New Roman" w:cs="Times New Roman"/>
          <w:sz w:val="24"/>
          <w:szCs w:val="24"/>
        </w:rPr>
        <w:t>. For example, during this transition, dispersers had ~16,900 more genes that became methylated than did natal birds and had ~17,200 more genes that lost methylation</w:t>
      </w:r>
      <w:r w:rsidR="007A2717">
        <w:rPr>
          <w:rFonts w:ascii="Times New Roman" w:hAnsi="Times New Roman" w:cs="Times New Roman"/>
          <w:sz w:val="24"/>
          <w:szCs w:val="24"/>
        </w:rPr>
        <w:t xml:space="preserve"> (Table X2)</w:t>
      </w:r>
      <w:r>
        <w:rPr>
          <w:rFonts w:ascii="Times New Roman" w:hAnsi="Times New Roman" w:cs="Times New Roman"/>
          <w:sz w:val="24"/>
          <w:szCs w:val="24"/>
        </w:rPr>
        <w:t xml:space="preserve">. </w:t>
      </w:r>
      <w:r w:rsidR="007107A2">
        <w:rPr>
          <w:rFonts w:ascii="Times New Roman" w:hAnsi="Times New Roman" w:cs="Times New Roman"/>
          <w:sz w:val="24"/>
          <w:szCs w:val="24"/>
        </w:rPr>
        <w:t>The probability that these differences were greater than zero between dispersers and natal was &gt;</w:t>
      </w:r>
      <w:r w:rsidR="000805CB">
        <w:rPr>
          <w:rFonts w:ascii="Times New Roman" w:hAnsi="Times New Roman" w:cs="Times New Roman"/>
          <w:sz w:val="24"/>
          <w:szCs w:val="24"/>
        </w:rPr>
        <w:t xml:space="preserve"> </w:t>
      </w:r>
      <w:r w:rsidR="007107A2">
        <w:rPr>
          <w:rFonts w:ascii="Times New Roman" w:hAnsi="Times New Roman" w:cs="Times New Roman"/>
          <w:sz w:val="24"/>
          <w:szCs w:val="24"/>
        </w:rPr>
        <w:t xml:space="preserve">97% for hatchling to fledgling </w:t>
      </w:r>
      <w:r w:rsidR="007107A2">
        <w:rPr>
          <w:rFonts w:ascii="Times New Roman" w:hAnsi="Times New Roman" w:cs="Times New Roman"/>
          <w:sz w:val="24"/>
          <w:szCs w:val="24"/>
        </w:rPr>
        <w:lastRenderedPageBreak/>
        <w:t xml:space="preserve">comparisons. </w:t>
      </w:r>
      <w:r w:rsidR="00CF7072">
        <w:rPr>
          <w:rFonts w:ascii="Times New Roman" w:hAnsi="Times New Roman" w:cs="Times New Roman"/>
          <w:sz w:val="24"/>
          <w:szCs w:val="24"/>
        </w:rPr>
        <w:t>For birds transitioning between the fledgling to adult stage, the differences in the number of genes that changed methylation state was smaller and more variable. Dispersers had ~</w:t>
      </w:r>
      <w:r w:rsidR="007A2717">
        <w:rPr>
          <w:rFonts w:ascii="Times New Roman" w:hAnsi="Times New Roman" w:cs="Times New Roman"/>
          <w:sz w:val="24"/>
          <w:szCs w:val="24"/>
        </w:rPr>
        <w:t>9</w:t>
      </w:r>
      <w:r w:rsidR="00CF7072">
        <w:rPr>
          <w:rFonts w:ascii="Times New Roman" w:hAnsi="Times New Roman" w:cs="Times New Roman"/>
          <w:sz w:val="24"/>
          <w:szCs w:val="24"/>
        </w:rPr>
        <w:t>,000 more genes that became methylated during this transition, but both behavior types lost a similar amount of methylation.</w:t>
      </w:r>
    </w:p>
    <w:tbl>
      <w:tblPr>
        <w:tblW w:w="5760" w:type="dxa"/>
        <w:tblLook w:val="04A0" w:firstRow="1" w:lastRow="0" w:firstColumn="1" w:lastColumn="0" w:noHBand="0" w:noVBand="1"/>
      </w:tblPr>
      <w:tblGrid>
        <w:gridCol w:w="589"/>
        <w:gridCol w:w="1508"/>
        <w:gridCol w:w="905"/>
        <w:gridCol w:w="709"/>
        <w:gridCol w:w="972"/>
        <w:gridCol w:w="1077"/>
      </w:tblGrid>
      <w:tr w:rsidR="00CF7072" w:rsidRPr="007107A2" w14:paraId="689DB1E2" w14:textId="77777777" w:rsidTr="0082579E">
        <w:trPr>
          <w:trHeight w:val="930"/>
        </w:trPr>
        <w:tc>
          <w:tcPr>
            <w:tcW w:w="5760" w:type="dxa"/>
            <w:gridSpan w:val="6"/>
            <w:tcBorders>
              <w:top w:val="nil"/>
              <w:left w:val="nil"/>
              <w:bottom w:val="single" w:sz="8" w:space="0" w:color="auto"/>
              <w:right w:val="nil"/>
            </w:tcBorders>
            <w:shd w:val="clear" w:color="auto" w:fill="auto"/>
            <w:vAlign w:val="bottom"/>
            <w:hideMark/>
          </w:tcPr>
          <w:p w14:paraId="6AF58935" w14:textId="77777777" w:rsidR="00CF7072" w:rsidRPr="007107A2" w:rsidRDefault="00CF7072" w:rsidP="0082579E">
            <w:pPr>
              <w:spacing w:after="0" w:line="240" w:lineRule="auto"/>
              <w:rPr>
                <w:rFonts w:ascii="Calibri" w:eastAsia="Times New Roman" w:hAnsi="Calibri" w:cs="Calibri"/>
                <w:color w:val="000000"/>
              </w:rPr>
            </w:pPr>
            <w:r w:rsidRPr="007107A2">
              <w:rPr>
                <w:rFonts w:ascii="Calibri" w:eastAsia="Times New Roman" w:hAnsi="Calibri" w:cs="Calibri"/>
                <w:color w:val="000000"/>
              </w:rPr>
              <w:t xml:space="preserve">Table X. Summaries of the posterior distribution of the proportion of genes that were methylated from a generalized linear mixed model. </w:t>
            </w:r>
          </w:p>
        </w:tc>
      </w:tr>
      <w:tr w:rsidR="00CF7072" w:rsidRPr="007107A2" w14:paraId="251E6BE0" w14:textId="77777777" w:rsidTr="0082579E">
        <w:trPr>
          <w:trHeight w:val="315"/>
        </w:trPr>
        <w:tc>
          <w:tcPr>
            <w:tcW w:w="589" w:type="dxa"/>
            <w:tcBorders>
              <w:top w:val="nil"/>
              <w:left w:val="nil"/>
              <w:bottom w:val="single" w:sz="8" w:space="0" w:color="auto"/>
              <w:right w:val="nil"/>
            </w:tcBorders>
            <w:shd w:val="clear" w:color="auto" w:fill="auto"/>
            <w:noWrap/>
            <w:vAlign w:val="center"/>
            <w:hideMark/>
          </w:tcPr>
          <w:p w14:paraId="04BE2038"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age</w:t>
            </w:r>
          </w:p>
        </w:tc>
        <w:tc>
          <w:tcPr>
            <w:tcW w:w="1508" w:type="dxa"/>
            <w:tcBorders>
              <w:top w:val="nil"/>
              <w:left w:val="nil"/>
              <w:bottom w:val="single" w:sz="8" w:space="0" w:color="auto"/>
              <w:right w:val="nil"/>
            </w:tcBorders>
            <w:shd w:val="clear" w:color="auto" w:fill="auto"/>
            <w:noWrap/>
            <w:vAlign w:val="center"/>
            <w:hideMark/>
          </w:tcPr>
          <w:p w14:paraId="0CE6B427"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dispersed</w:t>
            </w:r>
          </w:p>
        </w:tc>
        <w:tc>
          <w:tcPr>
            <w:tcW w:w="905" w:type="dxa"/>
            <w:tcBorders>
              <w:top w:val="nil"/>
              <w:left w:val="nil"/>
              <w:bottom w:val="single" w:sz="8" w:space="0" w:color="auto"/>
              <w:right w:val="nil"/>
            </w:tcBorders>
            <w:shd w:val="clear" w:color="auto" w:fill="auto"/>
            <w:noWrap/>
            <w:vAlign w:val="center"/>
            <w:hideMark/>
          </w:tcPr>
          <w:p w14:paraId="0999EB4D"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mean</w:t>
            </w:r>
          </w:p>
        </w:tc>
        <w:tc>
          <w:tcPr>
            <w:tcW w:w="709" w:type="dxa"/>
            <w:tcBorders>
              <w:top w:val="nil"/>
              <w:left w:val="nil"/>
              <w:bottom w:val="single" w:sz="8" w:space="0" w:color="auto"/>
              <w:right w:val="nil"/>
            </w:tcBorders>
            <w:shd w:val="clear" w:color="auto" w:fill="auto"/>
            <w:noWrap/>
            <w:vAlign w:val="center"/>
            <w:hideMark/>
          </w:tcPr>
          <w:p w14:paraId="70E4A61D"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sd</w:t>
            </w:r>
          </w:p>
        </w:tc>
        <w:tc>
          <w:tcPr>
            <w:tcW w:w="972" w:type="dxa"/>
            <w:tcBorders>
              <w:top w:val="nil"/>
              <w:left w:val="nil"/>
              <w:bottom w:val="single" w:sz="8" w:space="0" w:color="auto"/>
              <w:right w:val="nil"/>
            </w:tcBorders>
            <w:shd w:val="clear" w:color="auto" w:fill="auto"/>
            <w:noWrap/>
            <w:vAlign w:val="center"/>
            <w:hideMark/>
          </w:tcPr>
          <w:p w14:paraId="0EC588C5"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low95</w:t>
            </w:r>
          </w:p>
        </w:tc>
        <w:tc>
          <w:tcPr>
            <w:tcW w:w="1077" w:type="dxa"/>
            <w:tcBorders>
              <w:top w:val="nil"/>
              <w:left w:val="nil"/>
              <w:bottom w:val="single" w:sz="8" w:space="0" w:color="auto"/>
              <w:right w:val="nil"/>
            </w:tcBorders>
            <w:shd w:val="clear" w:color="auto" w:fill="auto"/>
            <w:noWrap/>
            <w:vAlign w:val="center"/>
            <w:hideMark/>
          </w:tcPr>
          <w:p w14:paraId="4B1CA623"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high95</w:t>
            </w:r>
          </w:p>
        </w:tc>
      </w:tr>
      <w:tr w:rsidR="00CF7072" w:rsidRPr="007107A2" w14:paraId="1D6D5E99" w14:textId="77777777" w:rsidTr="0082579E">
        <w:trPr>
          <w:trHeight w:val="300"/>
        </w:trPr>
        <w:tc>
          <w:tcPr>
            <w:tcW w:w="589" w:type="dxa"/>
            <w:tcBorders>
              <w:top w:val="nil"/>
              <w:left w:val="nil"/>
              <w:bottom w:val="nil"/>
              <w:right w:val="nil"/>
            </w:tcBorders>
            <w:shd w:val="clear" w:color="auto" w:fill="auto"/>
            <w:noWrap/>
            <w:vAlign w:val="center"/>
            <w:hideMark/>
          </w:tcPr>
          <w:p w14:paraId="1B1D3E14"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H</w:t>
            </w:r>
          </w:p>
        </w:tc>
        <w:tc>
          <w:tcPr>
            <w:tcW w:w="1508" w:type="dxa"/>
            <w:tcBorders>
              <w:top w:val="nil"/>
              <w:left w:val="nil"/>
              <w:bottom w:val="nil"/>
              <w:right w:val="nil"/>
            </w:tcBorders>
            <w:shd w:val="clear" w:color="auto" w:fill="auto"/>
            <w:noWrap/>
            <w:vAlign w:val="center"/>
            <w:hideMark/>
          </w:tcPr>
          <w:p w14:paraId="4BE3469A"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D</w:t>
            </w:r>
          </w:p>
        </w:tc>
        <w:tc>
          <w:tcPr>
            <w:tcW w:w="905" w:type="dxa"/>
            <w:tcBorders>
              <w:top w:val="nil"/>
              <w:left w:val="nil"/>
              <w:bottom w:val="nil"/>
              <w:right w:val="nil"/>
            </w:tcBorders>
            <w:shd w:val="clear" w:color="auto" w:fill="auto"/>
            <w:noWrap/>
            <w:vAlign w:val="center"/>
            <w:hideMark/>
          </w:tcPr>
          <w:p w14:paraId="69186AC5"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w:t>
            </w:r>
          </w:p>
        </w:tc>
        <w:tc>
          <w:tcPr>
            <w:tcW w:w="709" w:type="dxa"/>
            <w:tcBorders>
              <w:top w:val="nil"/>
              <w:left w:val="nil"/>
              <w:bottom w:val="nil"/>
              <w:right w:val="nil"/>
            </w:tcBorders>
            <w:shd w:val="clear" w:color="auto" w:fill="auto"/>
            <w:noWrap/>
            <w:vAlign w:val="center"/>
            <w:hideMark/>
          </w:tcPr>
          <w:p w14:paraId="68C4E5D3"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0.03</w:t>
            </w:r>
          </w:p>
        </w:tc>
        <w:tc>
          <w:tcPr>
            <w:tcW w:w="972" w:type="dxa"/>
            <w:tcBorders>
              <w:top w:val="nil"/>
              <w:left w:val="nil"/>
              <w:bottom w:val="nil"/>
              <w:right w:val="nil"/>
            </w:tcBorders>
            <w:shd w:val="clear" w:color="auto" w:fill="auto"/>
            <w:noWrap/>
            <w:vAlign w:val="center"/>
            <w:hideMark/>
          </w:tcPr>
          <w:p w14:paraId="64B1BCD2"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0.73</w:t>
            </w:r>
          </w:p>
        </w:tc>
        <w:tc>
          <w:tcPr>
            <w:tcW w:w="1077" w:type="dxa"/>
            <w:tcBorders>
              <w:top w:val="nil"/>
              <w:left w:val="nil"/>
              <w:bottom w:val="nil"/>
              <w:right w:val="nil"/>
            </w:tcBorders>
            <w:shd w:val="clear" w:color="auto" w:fill="auto"/>
            <w:noWrap/>
            <w:vAlign w:val="center"/>
            <w:hideMark/>
          </w:tcPr>
          <w:p w14:paraId="11A5B715"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0.85</w:t>
            </w:r>
          </w:p>
        </w:tc>
      </w:tr>
      <w:tr w:rsidR="00CF7072" w:rsidRPr="007107A2" w14:paraId="6DEEF9DB" w14:textId="77777777" w:rsidTr="0082579E">
        <w:trPr>
          <w:trHeight w:val="300"/>
        </w:trPr>
        <w:tc>
          <w:tcPr>
            <w:tcW w:w="589" w:type="dxa"/>
            <w:tcBorders>
              <w:top w:val="nil"/>
              <w:left w:val="nil"/>
              <w:bottom w:val="nil"/>
              <w:right w:val="nil"/>
            </w:tcBorders>
            <w:shd w:val="clear" w:color="auto" w:fill="auto"/>
            <w:noWrap/>
            <w:vAlign w:val="center"/>
            <w:hideMark/>
          </w:tcPr>
          <w:p w14:paraId="07D2CF61"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H</w:t>
            </w:r>
          </w:p>
        </w:tc>
        <w:tc>
          <w:tcPr>
            <w:tcW w:w="1508" w:type="dxa"/>
            <w:tcBorders>
              <w:top w:val="nil"/>
              <w:left w:val="nil"/>
              <w:bottom w:val="nil"/>
              <w:right w:val="nil"/>
            </w:tcBorders>
            <w:shd w:val="clear" w:color="auto" w:fill="auto"/>
            <w:noWrap/>
            <w:vAlign w:val="center"/>
            <w:hideMark/>
          </w:tcPr>
          <w:p w14:paraId="3D6A6DC4"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N</w:t>
            </w:r>
          </w:p>
        </w:tc>
        <w:tc>
          <w:tcPr>
            <w:tcW w:w="905" w:type="dxa"/>
            <w:tcBorders>
              <w:top w:val="nil"/>
              <w:left w:val="nil"/>
              <w:bottom w:val="nil"/>
              <w:right w:val="nil"/>
            </w:tcBorders>
            <w:shd w:val="clear" w:color="auto" w:fill="auto"/>
            <w:noWrap/>
            <w:vAlign w:val="center"/>
            <w:hideMark/>
          </w:tcPr>
          <w:p w14:paraId="3701D484"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0.81</w:t>
            </w:r>
          </w:p>
        </w:tc>
        <w:tc>
          <w:tcPr>
            <w:tcW w:w="709" w:type="dxa"/>
            <w:tcBorders>
              <w:top w:val="nil"/>
              <w:left w:val="nil"/>
              <w:bottom w:val="nil"/>
              <w:right w:val="nil"/>
            </w:tcBorders>
            <w:shd w:val="clear" w:color="auto" w:fill="auto"/>
            <w:noWrap/>
            <w:vAlign w:val="center"/>
            <w:hideMark/>
          </w:tcPr>
          <w:p w14:paraId="5C429D66"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0.03</w:t>
            </w:r>
          </w:p>
        </w:tc>
        <w:tc>
          <w:tcPr>
            <w:tcW w:w="972" w:type="dxa"/>
            <w:tcBorders>
              <w:top w:val="nil"/>
              <w:left w:val="nil"/>
              <w:bottom w:val="nil"/>
              <w:right w:val="nil"/>
            </w:tcBorders>
            <w:shd w:val="clear" w:color="auto" w:fill="auto"/>
            <w:noWrap/>
            <w:vAlign w:val="center"/>
            <w:hideMark/>
          </w:tcPr>
          <w:p w14:paraId="029D3CE8"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0.75</w:t>
            </w:r>
          </w:p>
        </w:tc>
        <w:tc>
          <w:tcPr>
            <w:tcW w:w="1077" w:type="dxa"/>
            <w:tcBorders>
              <w:top w:val="nil"/>
              <w:left w:val="nil"/>
              <w:bottom w:val="nil"/>
              <w:right w:val="nil"/>
            </w:tcBorders>
            <w:shd w:val="clear" w:color="auto" w:fill="auto"/>
            <w:noWrap/>
            <w:vAlign w:val="center"/>
            <w:hideMark/>
          </w:tcPr>
          <w:p w14:paraId="65364481"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0.87</w:t>
            </w:r>
          </w:p>
        </w:tc>
      </w:tr>
      <w:tr w:rsidR="00CF7072" w:rsidRPr="007107A2" w14:paraId="091900A5" w14:textId="77777777" w:rsidTr="0082579E">
        <w:trPr>
          <w:trHeight w:val="300"/>
        </w:trPr>
        <w:tc>
          <w:tcPr>
            <w:tcW w:w="589" w:type="dxa"/>
            <w:tcBorders>
              <w:top w:val="nil"/>
              <w:left w:val="nil"/>
              <w:bottom w:val="nil"/>
              <w:right w:val="nil"/>
            </w:tcBorders>
            <w:shd w:val="clear" w:color="auto" w:fill="auto"/>
            <w:noWrap/>
            <w:vAlign w:val="center"/>
            <w:hideMark/>
          </w:tcPr>
          <w:p w14:paraId="03F4341C"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F</w:t>
            </w:r>
          </w:p>
        </w:tc>
        <w:tc>
          <w:tcPr>
            <w:tcW w:w="1508" w:type="dxa"/>
            <w:tcBorders>
              <w:top w:val="nil"/>
              <w:left w:val="nil"/>
              <w:bottom w:val="nil"/>
              <w:right w:val="nil"/>
            </w:tcBorders>
            <w:shd w:val="clear" w:color="auto" w:fill="auto"/>
            <w:noWrap/>
            <w:vAlign w:val="center"/>
            <w:hideMark/>
          </w:tcPr>
          <w:p w14:paraId="4A7FB8DD"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D</w:t>
            </w:r>
          </w:p>
        </w:tc>
        <w:tc>
          <w:tcPr>
            <w:tcW w:w="905" w:type="dxa"/>
            <w:tcBorders>
              <w:top w:val="nil"/>
              <w:left w:val="nil"/>
              <w:bottom w:val="nil"/>
              <w:right w:val="nil"/>
            </w:tcBorders>
            <w:shd w:val="clear" w:color="auto" w:fill="auto"/>
            <w:noWrap/>
            <w:vAlign w:val="center"/>
            <w:hideMark/>
          </w:tcPr>
          <w:p w14:paraId="20E3D3F3"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0.76</w:t>
            </w:r>
          </w:p>
        </w:tc>
        <w:tc>
          <w:tcPr>
            <w:tcW w:w="709" w:type="dxa"/>
            <w:tcBorders>
              <w:top w:val="nil"/>
              <w:left w:val="nil"/>
              <w:bottom w:val="nil"/>
              <w:right w:val="nil"/>
            </w:tcBorders>
            <w:shd w:val="clear" w:color="auto" w:fill="auto"/>
            <w:noWrap/>
            <w:vAlign w:val="center"/>
            <w:hideMark/>
          </w:tcPr>
          <w:p w14:paraId="5F46C6B3"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0.03</w:t>
            </w:r>
          </w:p>
        </w:tc>
        <w:tc>
          <w:tcPr>
            <w:tcW w:w="972" w:type="dxa"/>
            <w:tcBorders>
              <w:top w:val="nil"/>
              <w:left w:val="nil"/>
              <w:bottom w:val="nil"/>
              <w:right w:val="nil"/>
            </w:tcBorders>
            <w:shd w:val="clear" w:color="auto" w:fill="auto"/>
            <w:noWrap/>
            <w:vAlign w:val="center"/>
            <w:hideMark/>
          </w:tcPr>
          <w:p w14:paraId="3941AE6C"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0.68</w:t>
            </w:r>
          </w:p>
        </w:tc>
        <w:tc>
          <w:tcPr>
            <w:tcW w:w="1077" w:type="dxa"/>
            <w:tcBorders>
              <w:top w:val="nil"/>
              <w:left w:val="nil"/>
              <w:bottom w:val="nil"/>
              <w:right w:val="nil"/>
            </w:tcBorders>
            <w:shd w:val="clear" w:color="auto" w:fill="auto"/>
            <w:noWrap/>
            <w:vAlign w:val="center"/>
            <w:hideMark/>
          </w:tcPr>
          <w:p w14:paraId="27CD4691"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0.82</w:t>
            </w:r>
          </w:p>
        </w:tc>
      </w:tr>
      <w:tr w:rsidR="00CF7072" w:rsidRPr="007107A2" w14:paraId="3EC90EF0" w14:textId="77777777" w:rsidTr="0082579E">
        <w:trPr>
          <w:trHeight w:val="300"/>
        </w:trPr>
        <w:tc>
          <w:tcPr>
            <w:tcW w:w="589" w:type="dxa"/>
            <w:tcBorders>
              <w:top w:val="nil"/>
              <w:left w:val="nil"/>
              <w:bottom w:val="nil"/>
              <w:right w:val="nil"/>
            </w:tcBorders>
            <w:shd w:val="clear" w:color="auto" w:fill="auto"/>
            <w:noWrap/>
            <w:vAlign w:val="center"/>
            <w:hideMark/>
          </w:tcPr>
          <w:p w14:paraId="1F3A76DC"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F</w:t>
            </w:r>
          </w:p>
        </w:tc>
        <w:tc>
          <w:tcPr>
            <w:tcW w:w="1508" w:type="dxa"/>
            <w:tcBorders>
              <w:top w:val="nil"/>
              <w:left w:val="nil"/>
              <w:bottom w:val="nil"/>
              <w:right w:val="nil"/>
            </w:tcBorders>
            <w:shd w:val="clear" w:color="auto" w:fill="auto"/>
            <w:noWrap/>
            <w:vAlign w:val="center"/>
            <w:hideMark/>
          </w:tcPr>
          <w:p w14:paraId="20EEA340"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N</w:t>
            </w:r>
          </w:p>
        </w:tc>
        <w:tc>
          <w:tcPr>
            <w:tcW w:w="905" w:type="dxa"/>
            <w:tcBorders>
              <w:top w:val="nil"/>
              <w:left w:val="nil"/>
              <w:bottom w:val="nil"/>
              <w:right w:val="nil"/>
            </w:tcBorders>
            <w:shd w:val="clear" w:color="auto" w:fill="auto"/>
            <w:noWrap/>
            <w:vAlign w:val="center"/>
            <w:hideMark/>
          </w:tcPr>
          <w:p w14:paraId="7DF9931B"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0.84</w:t>
            </w:r>
          </w:p>
        </w:tc>
        <w:tc>
          <w:tcPr>
            <w:tcW w:w="709" w:type="dxa"/>
            <w:tcBorders>
              <w:top w:val="nil"/>
              <w:left w:val="nil"/>
              <w:bottom w:val="nil"/>
              <w:right w:val="nil"/>
            </w:tcBorders>
            <w:shd w:val="clear" w:color="auto" w:fill="auto"/>
            <w:noWrap/>
            <w:vAlign w:val="center"/>
            <w:hideMark/>
          </w:tcPr>
          <w:p w14:paraId="6A8D703C"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0.03</w:t>
            </w:r>
          </w:p>
        </w:tc>
        <w:tc>
          <w:tcPr>
            <w:tcW w:w="972" w:type="dxa"/>
            <w:tcBorders>
              <w:top w:val="nil"/>
              <w:left w:val="nil"/>
              <w:bottom w:val="nil"/>
              <w:right w:val="nil"/>
            </w:tcBorders>
            <w:shd w:val="clear" w:color="auto" w:fill="auto"/>
            <w:noWrap/>
            <w:vAlign w:val="center"/>
            <w:hideMark/>
          </w:tcPr>
          <w:p w14:paraId="4F17B0B2"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0.78</w:t>
            </w:r>
          </w:p>
        </w:tc>
        <w:tc>
          <w:tcPr>
            <w:tcW w:w="1077" w:type="dxa"/>
            <w:tcBorders>
              <w:top w:val="nil"/>
              <w:left w:val="nil"/>
              <w:bottom w:val="nil"/>
              <w:right w:val="nil"/>
            </w:tcBorders>
            <w:shd w:val="clear" w:color="auto" w:fill="auto"/>
            <w:noWrap/>
            <w:vAlign w:val="center"/>
            <w:hideMark/>
          </w:tcPr>
          <w:p w14:paraId="5AE28304"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0.89</w:t>
            </w:r>
          </w:p>
        </w:tc>
      </w:tr>
      <w:tr w:rsidR="00CF7072" w:rsidRPr="007107A2" w14:paraId="4F2D75AE" w14:textId="77777777" w:rsidTr="0082579E">
        <w:trPr>
          <w:trHeight w:val="300"/>
        </w:trPr>
        <w:tc>
          <w:tcPr>
            <w:tcW w:w="589" w:type="dxa"/>
            <w:tcBorders>
              <w:top w:val="nil"/>
              <w:left w:val="nil"/>
              <w:bottom w:val="nil"/>
              <w:right w:val="nil"/>
            </w:tcBorders>
            <w:shd w:val="clear" w:color="auto" w:fill="auto"/>
            <w:noWrap/>
            <w:vAlign w:val="center"/>
            <w:hideMark/>
          </w:tcPr>
          <w:p w14:paraId="424EE8E6"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A</w:t>
            </w:r>
          </w:p>
        </w:tc>
        <w:tc>
          <w:tcPr>
            <w:tcW w:w="1508" w:type="dxa"/>
            <w:tcBorders>
              <w:top w:val="nil"/>
              <w:left w:val="nil"/>
              <w:bottom w:val="nil"/>
              <w:right w:val="nil"/>
            </w:tcBorders>
            <w:shd w:val="clear" w:color="auto" w:fill="auto"/>
            <w:noWrap/>
            <w:vAlign w:val="center"/>
            <w:hideMark/>
          </w:tcPr>
          <w:p w14:paraId="6849A5FB"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D</w:t>
            </w:r>
          </w:p>
        </w:tc>
        <w:tc>
          <w:tcPr>
            <w:tcW w:w="905" w:type="dxa"/>
            <w:tcBorders>
              <w:top w:val="nil"/>
              <w:left w:val="nil"/>
              <w:bottom w:val="nil"/>
              <w:right w:val="nil"/>
            </w:tcBorders>
            <w:shd w:val="clear" w:color="auto" w:fill="auto"/>
            <w:noWrap/>
            <w:vAlign w:val="center"/>
            <w:hideMark/>
          </w:tcPr>
          <w:p w14:paraId="6C7173A2"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0.83</w:t>
            </w:r>
          </w:p>
        </w:tc>
        <w:tc>
          <w:tcPr>
            <w:tcW w:w="709" w:type="dxa"/>
            <w:tcBorders>
              <w:top w:val="nil"/>
              <w:left w:val="nil"/>
              <w:bottom w:val="nil"/>
              <w:right w:val="nil"/>
            </w:tcBorders>
            <w:shd w:val="clear" w:color="auto" w:fill="auto"/>
            <w:noWrap/>
            <w:vAlign w:val="center"/>
            <w:hideMark/>
          </w:tcPr>
          <w:p w14:paraId="576E0BCE"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0.03</w:t>
            </w:r>
          </w:p>
        </w:tc>
        <w:tc>
          <w:tcPr>
            <w:tcW w:w="972" w:type="dxa"/>
            <w:tcBorders>
              <w:top w:val="nil"/>
              <w:left w:val="nil"/>
              <w:bottom w:val="nil"/>
              <w:right w:val="nil"/>
            </w:tcBorders>
            <w:shd w:val="clear" w:color="auto" w:fill="auto"/>
            <w:noWrap/>
            <w:vAlign w:val="center"/>
            <w:hideMark/>
          </w:tcPr>
          <w:p w14:paraId="33C7C4B7"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0.77</w:t>
            </w:r>
          </w:p>
        </w:tc>
        <w:tc>
          <w:tcPr>
            <w:tcW w:w="1077" w:type="dxa"/>
            <w:tcBorders>
              <w:top w:val="nil"/>
              <w:left w:val="nil"/>
              <w:bottom w:val="nil"/>
              <w:right w:val="nil"/>
            </w:tcBorders>
            <w:shd w:val="clear" w:color="auto" w:fill="auto"/>
            <w:noWrap/>
            <w:vAlign w:val="center"/>
            <w:hideMark/>
          </w:tcPr>
          <w:p w14:paraId="11D26305"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0.88</w:t>
            </w:r>
          </w:p>
        </w:tc>
      </w:tr>
      <w:tr w:rsidR="00CF7072" w:rsidRPr="007107A2" w14:paraId="048F00A3" w14:textId="77777777" w:rsidTr="0082579E">
        <w:trPr>
          <w:trHeight w:val="315"/>
        </w:trPr>
        <w:tc>
          <w:tcPr>
            <w:tcW w:w="589" w:type="dxa"/>
            <w:tcBorders>
              <w:top w:val="nil"/>
              <w:left w:val="nil"/>
              <w:bottom w:val="single" w:sz="8" w:space="0" w:color="auto"/>
              <w:right w:val="nil"/>
            </w:tcBorders>
            <w:shd w:val="clear" w:color="auto" w:fill="auto"/>
            <w:noWrap/>
            <w:vAlign w:val="center"/>
            <w:hideMark/>
          </w:tcPr>
          <w:p w14:paraId="1E087D43"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A</w:t>
            </w:r>
          </w:p>
        </w:tc>
        <w:tc>
          <w:tcPr>
            <w:tcW w:w="1508" w:type="dxa"/>
            <w:tcBorders>
              <w:top w:val="nil"/>
              <w:left w:val="nil"/>
              <w:bottom w:val="single" w:sz="8" w:space="0" w:color="auto"/>
              <w:right w:val="nil"/>
            </w:tcBorders>
            <w:shd w:val="clear" w:color="auto" w:fill="auto"/>
            <w:noWrap/>
            <w:vAlign w:val="center"/>
            <w:hideMark/>
          </w:tcPr>
          <w:p w14:paraId="46BA4024"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N</w:t>
            </w:r>
          </w:p>
        </w:tc>
        <w:tc>
          <w:tcPr>
            <w:tcW w:w="905" w:type="dxa"/>
            <w:tcBorders>
              <w:top w:val="nil"/>
              <w:left w:val="nil"/>
              <w:bottom w:val="single" w:sz="8" w:space="0" w:color="auto"/>
              <w:right w:val="nil"/>
            </w:tcBorders>
            <w:shd w:val="clear" w:color="auto" w:fill="auto"/>
            <w:noWrap/>
            <w:vAlign w:val="center"/>
            <w:hideMark/>
          </w:tcPr>
          <w:p w14:paraId="723B85E2"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w:t>
            </w:r>
          </w:p>
        </w:tc>
        <w:tc>
          <w:tcPr>
            <w:tcW w:w="709" w:type="dxa"/>
            <w:tcBorders>
              <w:top w:val="nil"/>
              <w:left w:val="nil"/>
              <w:bottom w:val="single" w:sz="8" w:space="0" w:color="auto"/>
              <w:right w:val="nil"/>
            </w:tcBorders>
            <w:shd w:val="clear" w:color="auto" w:fill="auto"/>
            <w:noWrap/>
            <w:vAlign w:val="center"/>
            <w:hideMark/>
          </w:tcPr>
          <w:p w14:paraId="708C2303"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0.03</w:t>
            </w:r>
          </w:p>
        </w:tc>
        <w:tc>
          <w:tcPr>
            <w:tcW w:w="972" w:type="dxa"/>
            <w:tcBorders>
              <w:top w:val="nil"/>
              <w:left w:val="nil"/>
              <w:bottom w:val="single" w:sz="8" w:space="0" w:color="auto"/>
              <w:right w:val="nil"/>
            </w:tcBorders>
            <w:shd w:val="clear" w:color="auto" w:fill="auto"/>
            <w:noWrap/>
            <w:vAlign w:val="center"/>
            <w:hideMark/>
          </w:tcPr>
          <w:p w14:paraId="4B282A4B"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0.74</w:t>
            </w:r>
          </w:p>
        </w:tc>
        <w:tc>
          <w:tcPr>
            <w:tcW w:w="1077" w:type="dxa"/>
            <w:tcBorders>
              <w:top w:val="nil"/>
              <w:left w:val="nil"/>
              <w:bottom w:val="single" w:sz="8" w:space="0" w:color="auto"/>
              <w:right w:val="nil"/>
            </w:tcBorders>
            <w:shd w:val="clear" w:color="auto" w:fill="auto"/>
            <w:noWrap/>
            <w:vAlign w:val="center"/>
            <w:hideMark/>
          </w:tcPr>
          <w:p w14:paraId="5EEB50FE" w14:textId="77777777" w:rsidR="00CF7072" w:rsidRPr="007107A2" w:rsidRDefault="00CF7072" w:rsidP="0082579E">
            <w:pPr>
              <w:spacing w:after="0" w:line="240" w:lineRule="auto"/>
              <w:jc w:val="center"/>
              <w:rPr>
                <w:rFonts w:ascii="Calibri" w:eastAsia="Times New Roman" w:hAnsi="Calibri" w:cs="Calibri"/>
                <w:color w:val="000000"/>
              </w:rPr>
            </w:pPr>
            <w:r w:rsidRPr="007107A2">
              <w:rPr>
                <w:rFonts w:ascii="Calibri" w:eastAsia="Times New Roman" w:hAnsi="Calibri" w:cs="Calibri"/>
                <w:color w:val="000000"/>
              </w:rPr>
              <w:t>0.86</w:t>
            </w:r>
          </w:p>
        </w:tc>
      </w:tr>
    </w:tbl>
    <w:p w14:paraId="1F4F5322" w14:textId="77777777" w:rsidR="00CF7072" w:rsidRDefault="00CF7072">
      <w:pPr>
        <w:rPr>
          <w:rFonts w:ascii="Times New Roman" w:hAnsi="Times New Roman" w:cs="Times New Roman"/>
          <w:b/>
          <w:sz w:val="24"/>
          <w:szCs w:val="24"/>
        </w:rPr>
      </w:pPr>
    </w:p>
    <w:p w14:paraId="2A795C7A" w14:textId="77777777" w:rsidR="00CF7072" w:rsidRDefault="00CF7072">
      <w:pPr>
        <w:rPr>
          <w:rFonts w:ascii="Times New Roman" w:hAnsi="Times New Roman" w:cs="Times New Roman"/>
          <w:b/>
          <w:sz w:val="24"/>
          <w:szCs w:val="24"/>
        </w:rPr>
      </w:pPr>
    </w:p>
    <w:p w14:paraId="2A1F5284" w14:textId="77777777" w:rsidR="00CF7072" w:rsidRDefault="00CF7072">
      <w:pPr>
        <w:rPr>
          <w:rFonts w:ascii="Times New Roman" w:hAnsi="Times New Roman" w:cs="Times New Roman"/>
          <w:b/>
          <w:sz w:val="24"/>
          <w:szCs w:val="24"/>
        </w:rPr>
      </w:pPr>
    </w:p>
    <w:tbl>
      <w:tblPr>
        <w:tblW w:w="5760" w:type="dxa"/>
        <w:tblLook w:val="04A0" w:firstRow="1" w:lastRow="0" w:firstColumn="1" w:lastColumn="0" w:noHBand="0" w:noVBand="1"/>
      </w:tblPr>
      <w:tblGrid>
        <w:gridCol w:w="1045"/>
        <w:gridCol w:w="908"/>
        <w:gridCol w:w="815"/>
        <w:gridCol w:w="908"/>
        <w:gridCol w:w="886"/>
        <w:gridCol w:w="1198"/>
      </w:tblGrid>
      <w:tr w:rsidR="00CF7072" w:rsidRPr="00CF7072" w14:paraId="763D1ED8" w14:textId="77777777" w:rsidTr="007A2717">
        <w:trPr>
          <w:trHeight w:val="1899"/>
        </w:trPr>
        <w:tc>
          <w:tcPr>
            <w:tcW w:w="5760" w:type="dxa"/>
            <w:gridSpan w:val="6"/>
            <w:tcBorders>
              <w:top w:val="nil"/>
              <w:left w:val="nil"/>
              <w:bottom w:val="single" w:sz="4" w:space="0" w:color="auto"/>
              <w:right w:val="nil"/>
            </w:tcBorders>
            <w:shd w:val="clear" w:color="auto" w:fill="auto"/>
            <w:hideMark/>
          </w:tcPr>
          <w:p w14:paraId="21989948" w14:textId="4CCD9E8B" w:rsidR="00CF7072" w:rsidRPr="00CF7072" w:rsidRDefault="00CF7072" w:rsidP="00CF7072">
            <w:pPr>
              <w:spacing w:after="0" w:line="240" w:lineRule="auto"/>
              <w:rPr>
                <w:rFonts w:ascii="Calibri" w:eastAsia="Times New Roman" w:hAnsi="Calibri" w:cs="Calibri"/>
                <w:color w:val="000000"/>
              </w:rPr>
            </w:pPr>
            <w:r w:rsidRPr="00CF7072">
              <w:rPr>
                <w:rFonts w:ascii="Calibri" w:eastAsia="Times New Roman" w:hAnsi="Calibri" w:cs="Calibri"/>
                <w:color w:val="000000"/>
              </w:rPr>
              <w:t xml:space="preserve">Table </w:t>
            </w:r>
            <w:r w:rsidR="007A2717">
              <w:rPr>
                <w:rFonts w:ascii="Calibri" w:eastAsia="Times New Roman" w:hAnsi="Calibri" w:cs="Calibri"/>
                <w:color w:val="000000"/>
              </w:rPr>
              <w:t>X2</w:t>
            </w:r>
            <w:r w:rsidRPr="00CF7072">
              <w:rPr>
                <w:rFonts w:ascii="Calibri" w:eastAsia="Times New Roman" w:hAnsi="Calibri" w:cs="Calibri"/>
                <w:color w:val="000000"/>
              </w:rPr>
              <w:t xml:space="preserve">. Differences in gene methylation during age transitions among natal and dispersing birds. Values represent the mean, standard deviation, and credible intervals of the differences number of genes in each category between dispersers and natal birds from the posterior distribution of a Bayesian GLMM. </w:t>
            </w:r>
            <w:proofErr w:type="spellStart"/>
            <w:r w:rsidR="007A2717">
              <w:rPr>
                <w:rFonts w:ascii="Calibri" w:eastAsia="Times New Roman" w:hAnsi="Calibri" w:cs="Calibri"/>
                <w:color w:val="000000"/>
              </w:rPr>
              <w:t>p</w:t>
            </w:r>
            <w:r w:rsidRPr="00CF7072">
              <w:rPr>
                <w:rFonts w:ascii="Calibri" w:eastAsia="Times New Roman" w:hAnsi="Calibri" w:cs="Calibri"/>
                <w:color w:val="000000"/>
              </w:rPr>
              <w:t>rob_diff</w:t>
            </w:r>
            <w:proofErr w:type="spellEnd"/>
            <w:r w:rsidRPr="00CF7072">
              <w:rPr>
                <w:rFonts w:ascii="Calibri" w:eastAsia="Times New Roman" w:hAnsi="Calibri" w:cs="Calibri"/>
                <w:color w:val="000000"/>
              </w:rPr>
              <w:t xml:space="preserve"> is the probability that a difference is greater than zero.</w:t>
            </w:r>
          </w:p>
        </w:tc>
      </w:tr>
      <w:tr w:rsidR="00CF7072" w:rsidRPr="00CF7072" w14:paraId="3C141011" w14:textId="77777777" w:rsidTr="00CF7072">
        <w:trPr>
          <w:trHeight w:val="300"/>
        </w:trPr>
        <w:tc>
          <w:tcPr>
            <w:tcW w:w="1045" w:type="dxa"/>
            <w:tcBorders>
              <w:top w:val="nil"/>
              <w:left w:val="nil"/>
              <w:bottom w:val="single" w:sz="4" w:space="0" w:color="auto"/>
              <w:right w:val="nil"/>
            </w:tcBorders>
            <w:shd w:val="clear" w:color="auto" w:fill="auto"/>
            <w:noWrap/>
            <w:vAlign w:val="bottom"/>
            <w:hideMark/>
          </w:tcPr>
          <w:p w14:paraId="21D52D72" w14:textId="77777777" w:rsidR="00CF7072" w:rsidRPr="00CF7072" w:rsidRDefault="00CF7072" w:rsidP="00CF7072">
            <w:pPr>
              <w:spacing w:after="0" w:line="240" w:lineRule="auto"/>
              <w:rPr>
                <w:rFonts w:ascii="Calibri" w:eastAsia="Times New Roman" w:hAnsi="Calibri" w:cs="Calibri"/>
                <w:color w:val="000000"/>
              </w:rPr>
            </w:pPr>
            <w:r w:rsidRPr="00CF7072">
              <w:rPr>
                <w:rFonts w:ascii="Calibri" w:eastAsia="Times New Roman" w:hAnsi="Calibri" w:cs="Calibri"/>
                <w:color w:val="000000"/>
              </w:rPr>
              <w:t>key</w:t>
            </w:r>
          </w:p>
        </w:tc>
        <w:tc>
          <w:tcPr>
            <w:tcW w:w="908" w:type="dxa"/>
            <w:tcBorders>
              <w:top w:val="nil"/>
              <w:left w:val="nil"/>
              <w:bottom w:val="single" w:sz="4" w:space="0" w:color="auto"/>
              <w:right w:val="nil"/>
            </w:tcBorders>
            <w:shd w:val="clear" w:color="auto" w:fill="auto"/>
            <w:noWrap/>
            <w:vAlign w:val="bottom"/>
            <w:hideMark/>
          </w:tcPr>
          <w:p w14:paraId="0A3D3453" w14:textId="77777777" w:rsidR="00CF7072" w:rsidRPr="00CF7072" w:rsidRDefault="00CF7072" w:rsidP="00CF7072">
            <w:pPr>
              <w:spacing w:after="0" w:line="240" w:lineRule="auto"/>
              <w:rPr>
                <w:rFonts w:ascii="Calibri" w:eastAsia="Times New Roman" w:hAnsi="Calibri" w:cs="Calibri"/>
                <w:color w:val="000000"/>
              </w:rPr>
            </w:pPr>
            <w:r w:rsidRPr="00CF7072">
              <w:rPr>
                <w:rFonts w:ascii="Calibri" w:eastAsia="Times New Roman" w:hAnsi="Calibri" w:cs="Calibri"/>
                <w:color w:val="000000"/>
              </w:rPr>
              <w:t>mean</w:t>
            </w:r>
          </w:p>
        </w:tc>
        <w:tc>
          <w:tcPr>
            <w:tcW w:w="815" w:type="dxa"/>
            <w:tcBorders>
              <w:top w:val="nil"/>
              <w:left w:val="nil"/>
              <w:bottom w:val="single" w:sz="4" w:space="0" w:color="auto"/>
              <w:right w:val="nil"/>
            </w:tcBorders>
            <w:shd w:val="clear" w:color="auto" w:fill="auto"/>
            <w:noWrap/>
            <w:vAlign w:val="bottom"/>
            <w:hideMark/>
          </w:tcPr>
          <w:p w14:paraId="690D19AF" w14:textId="77777777" w:rsidR="00CF7072" w:rsidRPr="00CF7072" w:rsidRDefault="00CF7072" w:rsidP="00CF7072">
            <w:pPr>
              <w:spacing w:after="0" w:line="240" w:lineRule="auto"/>
              <w:rPr>
                <w:rFonts w:ascii="Calibri" w:eastAsia="Times New Roman" w:hAnsi="Calibri" w:cs="Calibri"/>
                <w:color w:val="000000"/>
              </w:rPr>
            </w:pPr>
            <w:r w:rsidRPr="00CF7072">
              <w:rPr>
                <w:rFonts w:ascii="Calibri" w:eastAsia="Times New Roman" w:hAnsi="Calibri" w:cs="Calibri"/>
                <w:color w:val="000000"/>
              </w:rPr>
              <w:t>sd</w:t>
            </w:r>
          </w:p>
        </w:tc>
        <w:tc>
          <w:tcPr>
            <w:tcW w:w="908" w:type="dxa"/>
            <w:tcBorders>
              <w:top w:val="nil"/>
              <w:left w:val="nil"/>
              <w:bottom w:val="single" w:sz="4" w:space="0" w:color="auto"/>
              <w:right w:val="nil"/>
            </w:tcBorders>
            <w:shd w:val="clear" w:color="auto" w:fill="auto"/>
            <w:noWrap/>
            <w:vAlign w:val="bottom"/>
            <w:hideMark/>
          </w:tcPr>
          <w:p w14:paraId="369F3DFE" w14:textId="77777777" w:rsidR="00CF7072" w:rsidRPr="00CF7072" w:rsidRDefault="00CF7072" w:rsidP="00CF7072">
            <w:pPr>
              <w:spacing w:after="0" w:line="240" w:lineRule="auto"/>
              <w:rPr>
                <w:rFonts w:ascii="Calibri" w:eastAsia="Times New Roman" w:hAnsi="Calibri" w:cs="Calibri"/>
                <w:color w:val="000000"/>
              </w:rPr>
            </w:pPr>
            <w:r w:rsidRPr="00CF7072">
              <w:rPr>
                <w:rFonts w:ascii="Calibri" w:eastAsia="Times New Roman" w:hAnsi="Calibri" w:cs="Calibri"/>
                <w:color w:val="000000"/>
              </w:rPr>
              <w:t>low95</w:t>
            </w:r>
          </w:p>
        </w:tc>
        <w:tc>
          <w:tcPr>
            <w:tcW w:w="886" w:type="dxa"/>
            <w:tcBorders>
              <w:top w:val="nil"/>
              <w:left w:val="nil"/>
              <w:bottom w:val="single" w:sz="4" w:space="0" w:color="auto"/>
              <w:right w:val="nil"/>
            </w:tcBorders>
            <w:shd w:val="clear" w:color="auto" w:fill="auto"/>
            <w:noWrap/>
            <w:vAlign w:val="bottom"/>
            <w:hideMark/>
          </w:tcPr>
          <w:p w14:paraId="161A16F0" w14:textId="77777777" w:rsidR="00CF7072" w:rsidRPr="00CF7072" w:rsidRDefault="00CF7072" w:rsidP="00CF7072">
            <w:pPr>
              <w:spacing w:after="0" w:line="240" w:lineRule="auto"/>
              <w:rPr>
                <w:rFonts w:ascii="Calibri" w:eastAsia="Times New Roman" w:hAnsi="Calibri" w:cs="Calibri"/>
                <w:color w:val="000000"/>
              </w:rPr>
            </w:pPr>
            <w:r w:rsidRPr="00CF7072">
              <w:rPr>
                <w:rFonts w:ascii="Calibri" w:eastAsia="Times New Roman" w:hAnsi="Calibri" w:cs="Calibri"/>
                <w:color w:val="000000"/>
              </w:rPr>
              <w:t>high95</w:t>
            </w:r>
          </w:p>
        </w:tc>
        <w:tc>
          <w:tcPr>
            <w:tcW w:w="1198" w:type="dxa"/>
            <w:tcBorders>
              <w:top w:val="nil"/>
              <w:left w:val="nil"/>
              <w:bottom w:val="single" w:sz="4" w:space="0" w:color="auto"/>
              <w:right w:val="nil"/>
            </w:tcBorders>
            <w:shd w:val="clear" w:color="auto" w:fill="auto"/>
            <w:noWrap/>
            <w:vAlign w:val="bottom"/>
            <w:hideMark/>
          </w:tcPr>
          <w:p w14:paraId="01EEAA9E"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prob_diff</w:t>
            </w:r>
            <w:proofErr w:type="spellEnd"/>
          </w:p>
        </w:tc>
      </w:tr>
      <w:tr w:rsidR="00CF7072" w:rsidRPr="00CF7072" w14:paraId="089DDA5D" w14:textId="77777777" w:rsidTr="00CF7072">
        <w:trPr>
          <w:trHeight w:val="300"/>
        </w:trPr>
        <w:tc>
          <w:tcPr>
            <w:tcW w:w="1045" w:type="dxa"/>
            <w:tcBorders>
              <w:top w:val="nil"/>
              <w:left w:val="nil"/>
              <w:bottom w:val="nil"/>
              <w:right w:val="nil"/>
            </w:tcBorders>
            <w:shd w:val="clear" w:color="auto" w:fill="auto"/>
            <w:noWrap/>
            <w:vAlign w:val="bottom"/>
            <w:hideMark/>
          </w:tcPr>
          <w:p w14:paraId="68B93D82"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HF_no</w:t>
            </w:r>
            <w:proofErr w:type="spellEnd"/>
          </w:p>
        </w:tc>
        <w:tc>
          <w:tcPr>
            <w:tcW w:w="908" w:type="dxa"/>
            <w:tcBorders>
              <w:top w:val="nil"/>
              <w:left w:val="nil"/>
              <w:bottom w:val="nil"/>
              <w:right w:val="nil"/>
            </w:tcBorders>
            <w:shd w:val="clear" w:color="auto" w:fill="auto"/>
            <w:noWrap/>
            <w:vAlign w:val="bottom"/>
            <w:hideMark/>
          </w:tcPr>
          <w:p w14:paraId="25799333"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-15760</w:t>
            </w:r>
          </w:p>
        </w:tc>
        <w:tc>
          <w:tcPr>
            <w:tcW w:w="815" w:type="dxa"/>
            <w:tcBorders>
              <w:top w:val="nil"/>
              <w:left w:val="nil"/>
              <w:bottom w:val="nil"/>
              <w:right w:val="nil"/>
            </w:tcBorders>
            <w:shd w:val="clear" w:color="auto" w:fill="auto"/>
            <w:noWrap/>
            <w:vAlign w:val="bottom"/>
            <w:hideMark/>
          </w:tcPr>
          <w:p w14:paraId="4410BF61"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31770</w:t>
            </w:r>
          </w:p>
        </w:tc>
        <w:tc>
          <w:tcPr>
            <w:tcW w:w="908" w:type="dxa"/>
            <w:tcBorders>
              <w:top w:val="nil"/>
              <w:left w:val="nil"/>
              <w:bottom w:val="nil"/>
              <w:right w:val="nil"/>
            </w:tcBorders>
            <w:shd w:val="clear" w:color="auto" w:fill="auto"/>
            <w:noWrap/>
            <w:vAlign w:val="bottom"/>
            <w:hideMark/>
          </w:tcPr>
          <w:p w14:paraId="518ABA63"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-82101</w:t>
            </w:r>
          </w:p>
        </w:tc>
        <w:tc>
          <w:tcPr>
            <w:tcW w:w="886" w:type="dxa"/>
            <w:tcBorders>
              <w:top w:val="nil"/>
              <w:left w:val="nil"/>
              <w:bottom w:val="nil"/>
              <w:right w:val="nil"/>
            </w:tcBorders>
            <w:shd w:val="clear" w:color="auto" w:fill="auto"/>
            <w:noWrap/>
            <w:vAlign w:val="bottom"/>
            <w:hideMark/>
          </w:tcPr>
          <w:p w14:paraId="521D531D"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45513</w:t>
            </w:r>
          </w:p>
        </w:tc>
        <w:tc>
          <w:tcPr>
            <w:tcW w:w="1198" w:type="dxa"/>
            <w:tcBorders>
              <w:top w:val="nil"/>
              <w:left w:val="nil"/>
              <w:bottom w:val="nil"/>
              <w:right w:val="nil"/>
            </w:tcBorders>
            <w:shd w:val="clear" w:color="auto" w:fill="auto"/>
            <w:noWrap/>
            <w:vAlign w:val="bottom"/>
            <w:hideMark/>
          </w:tcPr>
          <w:p w14:paraId="4A0A4FA2"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0.29</w:t>
            </w:r>
          </w:p>
        </w:tc>
      </w:tr>
      <w:tr w:rsidR="00CF7072" w:rsidRPr="00CF7072" w14:paraId="0D294816" w14:textId="77777777" w:rsidTr="00CF7072">
        <w:trPr>
          <w:trHeight w:val="300"/>
        </w:trPr>
        <w:tc>
          <w:tcPr>
            <w:tcW w:w="1045" w:type="dxa"/>
            <w:tcBorders>
              <w:top w:val="nil"/>
              <w:left w:val="nil"/>
              <w:bottom w:val="nil"/>
              <w:right w:val="nil"/>
            </w:tcBorders>
            <w:shd w:val="clear" w:color="auto" w:fill="auto"/>
            <w:noWrap/>
            <w:vAlign w:val="bottom"/>
            <w:hideMark/>
          </w:tcPr>
          <w:p w14:paraId="2ACED377"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HF_gain</w:t>
            </w:r>
            <w:proofErr w:type="spellEnd"/>
          </w:p>
        </w:tc>
        <w:tc>
          <w:tcPr>
            <w:tcW w:w="908" w:type="dxa"/>
            <w:tcBorders>
              <w:top w:val="nil"/>
              <w:left w:val="nil"/>
              <w:bottom w:val="nil"/>
              <w:right w:val="nil"/>
            </w:tcBorders>
            <w:shd w:val="clear" w:color="auto" w:fill="auto"/>
            <w:noWrap/>
            <w:vAlign w:val="bottom"/>
            <w:hideMark/>
          </w:tcPr>
          <w:p w14:paraId="5B93401D"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17621</w:t>
            </w:r>
          </w:p>
        </w:tc>
        <w:tc>
          <w:tcPr>
            <w:tcW w:w="815" w:type="dxa"/>
            <w:tcBorders>
              <w:top w:val="nil"/>
              <w:left w:val="nil"/>
              <w:bottom w:val="nil"/>
              <w:right w:val="nil"/>
            </w:tcBorders>
            <w:shd w:val="clear" w:color="auto" w:fill="auto"/>
            <w:noWrap/>
            <w:vAlign w:val="bottom"/>
            <w:hideMark/>
          </w:tcPr>
          <w:p w14:paraId="3B0F881B"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10413</w:t>
            </w:r>
          </w:p>
        </w:tc>
        <w:tc>
          <w:tcPr>
            <w:tcW w:w="908" w:type="dxa"/>
            <w:tcBorders>
              <w:top w:val="nil"/>
              <w:left w:val="nil"/>
              <w:bottom w:val="nil"/>
              <w:right w:val="nil"/>
            </w:tcBorders>
            <w:shd w:val="clear" w:color="auto" w:fill="auto"/>
            <w:noWrap/>
            <w:vAlign w:val="bottom"/>
            <w:hideMark/>
          </w:tcPr>
          <w:p w14:paraId="5DE5390A"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-988</w:t>
            </w:r>
          </w:p>
        </w:tc>
        <w:tc>
          <w:tcPr>
            <w:tcW w:w="886" w:type="dxa"/>
            <w:tcBorders>
              <w:top w:val="nil"/>
              <w:left w:val="nil"/>
              <w:bottom w:val="nil"/>
              <w:right w:val="nil"/>
            </w:tcBorders>
            <w:shd w:val="clear" w:color="auto" w:fill="auto"/>
            <w:noWrap/>
            <w:vAlign w:val="bottom"/>
            <w:hideMark/>
          </w:tcPr>
          <w:p w14:paraId="3DCA2E8B"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39123</w:t>
            </w:r>
          </w:p>
        </w:tc>
        <w:tc>
          <w:tcPr>
            <w:tcW w:w="1198" w:type="dxa"/>
            <w:tcBorders>
              <w:top w:val="nil"/>
              <w:left w:val="nil"/>
              <w:bottom w:val="nil"/>
              <w:right w:val="nil"/>
            </w:tcBorders>
            <w:shd w:val="clear" w:color="auto" w:fill="auto"/>
            <w:noWrap/>
            <w:vAlign w:val="bottom"/>
            <w:hideMark/>
          </w:tcPr>
          <w:p w14:paraId="10685248"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0.97</w:t>
            </w:r>
          </w:p>
        </w:tc>
      </w:tr>
      <w:tr w:rsidR="00CF7072" w:rsidRPr="00CF7072" w14:paraId="30CC193C" w14:textId="77777777" w:rsidTr="00CF7072">
        <w:trPr>
          <w:trHeight w:val="300"/>
        </w:trPr>
        <w:tc>
          <w:tcPr>
            <w:tcW w:w="1045" w:type="dxa"/>
            <w:tcBorders>
              <w:top w:val="nil"/>
              <w:left w:val="nil"/>
              <w:bottom w:val="nil"/>
              <w:right w:val="nil"/>
            </w:tcBorders>
            <w:shd w:val="clear" w:color="auto" w:fill="auto"/>
            <w:noWrap/>
            <w:vAlign w:val="bottom"/>
            <w:hideMark/>
          </w:tcPr>
          <w:p w14:paraId="03BF22C0"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HF_lose</w:t>
            </w:r>
            <w:proofErr w:type="spellEnd"/>
          </w:p>
        </w:tc>
        <w:tc>
          <w:tcPr>
            <w:tcW w:w="908" w:type="dxa"/>
            <w:tcBorders>
              <w:top w:val="nil"/>
              <w:left w:val="nil"/>
              <w:bottom w:val="nil"/>
              <w:right w:val="nil"/>
            </w:tcBorders>
            <w:shd w:val="clear" w:color="auto" w:fill="auto"/>
            <w:noWrap/>
            <w:vAlign w:val="bottom"/>
            <w:hideMark/>
          </w:tcPr>
          <w:p w14:paraId="56A4E069"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18159</w:t>
            </w:r>
          </w:p>
        </w:tc>
        <w:tc>
          <w:tcPr>
            <w:tcW w:w="815" w:type="dxa"/>
            <w:tcBorders>
              <w:top w:val="nil"/>
              <w:left w:val="nil"/>
              <w:bottom w:val="nil"/>
              <w:right w:val="nil"/>
            </w:tcBorders>
            <w:shd w:val="clear" w:color="auto" w:fill="auto"/>
            <w:noWrap/>
            <w:vAlign w:val="bottom"/>
            <w:hideMark/>
          </w:tcPr>
          <w:p w14:paraId="0E4212FC"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10381</w:t>
            </w:r>
          </w:p>
        </w:tc>
        <w:tc>
          <w:tcPr>
            <w:tcW w:w="908" w:type="dxa"/>
            <w:tcBorders>
              <w:top w:val="nil"/>
              <w:left w:val="nil"/>
              <w:bottom w:val="nil"/>
              <w:right w:val="nil"/>
            </w:tcBorders>
            <w:shd w:val="clear" w:color="auto" w:fill="auto"/>
            <w:noWrap/>
            <w:vAlign w:val="bottom"/>
            <w:hideMark/>
          </w:tcPr>
          <w:p w14:paraId="17DF042C"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788</w:t>
            </w:r>
          </w:p>
        </w:tc>
        <w:tc>
          <w:tcPr>
            <w:tcW w:w="886" w:type="dxa"/>
            <w:tcBorders>
              <w:top w:val="nil"/>
              <w:left w:val="nil"/>
              <w:bottom w:val="nil"/>
              <w:right w:val="nil"/>
            </w:tcBorders>
            <w:shd w:val="clear" w:color="auto" w:fill="auto"/>
            <w:noWrap/>
            <w:vAlign w:val="bottom"/>
            <w:hideMark/>
          </w:tcPr>
          <w:p w14:paraId="61AFCF6B"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41550</w:t>
            </w:r>
          </w:p>
        </w:tc>
        <w:tc>
          <w:tcPr>
            <w:tcW w:w="1198" w:type="dxa"/>
            <w:tcBorders>
              <w:top w:val="nil"/>
              <w:left w:val="nil"/>
              <w:bottom w:val="nil"/>
              <w:right w:val="nil"/>
            </w:tcBorders>
            <w:shd w:val="clear" w:color="auto" w:fill="auto"/>
            <w:noWrap/>
            <w:vAlign w:val="bottom"/>
            <w:hideMark/>
          </w:tcPr>
          <w:p w14:paraId="30B527FE"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0.98</w:t>
            </w:r>
          </w:p>
        </w:tc>
      </w:tr>
      <w:tr w:rsidR="00CF7072" w:rsidRPr="00CF7072" w14:paraId="2910028F" w14:textId="77777777" w:rsidTr="00CF7072">
        <w:trPr>
          <w:trHeight w:val="300"/>
        </w:trPr>
        <w:tc>
          <w:tcPr>
            <w:tcW w:w="1045" w:type="dxa"/>
            <w:tcBorders>
              <w:top w:val="nil"/>
              <w:left w:val="nil"/>
              <w:bottom w:val="nil"/>
              <w:right w:val="nil"/>
            </w:tcBorders>
            <w:shd w:val="clear" w:color="auto" w:fill="auto"/>
            <w:noWrap/>
            <w:vAlign w:val="bottom"/>
            <w:hideMark/>
          </w:tcPr>
          <w:p w14:paraId="20F0E419"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FA_no</w:t>
            </w:r>
            <w:proofErr w:type="spellEnd"/>
          </w:p>
        </w:tc>
        <w:tc>
          <w:tcPr>
            <w:tcW w:w="908" w:type="dxa"/>
            <w:tcBorders>
              <w:top w:val="nil"/>
              <w:left w:val="nil"/>
              <w:bottom w:val="nil"/>
              <w:right w:val="nil"/>
            </w:tcBorders>
            <w:shd w:val="clear" w:color="auto" w:fill="auto"/>
            <w:noWrap/>
            <w:vAlign w:val="bottom"/>
            <w:hideMark/>
          </w:tcPr>
          <w:p w14:paraId="546B49A1"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-6688</w:t>
            </w:r>
          </w:p>
        </w:tc>
        <w:tc>
          <w:tcPr>
            <w:tcW w:w="815" w:type="dxa"/>
            <w:tcBorders>
              <w:top w:val="nil"/>
              <w:left w:val="nil"/>
              <w:bottom w:val="nil"/>
              <w:right w:val="nil"/>
            </w:tcBorders>
            <w:shd w:val="clear" w:color="auto" w:fill="auto"/>
            <w:noWrap/>
            <w:vAlign w:val="bottom"/>
            <w:hideMark/>
          </w:tcPr>
          <w:p w14:paraId="32F48852"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33486</w:t>
            </w:r>
          </w:p>
        </w:tc>
        <w:tc>
          <w:tcPr>
            <w:tcW w:w="908" w:type="dxa"/>
            <w:tcBorders>
              <w:top w:val="nil"/>
              <w:left w:val="nil"/>
              <w:bottom w:val="nil"/>
              <w:right w:val="nil"/>
            </w:tcBorders>
            <w:shd w:val="clear" w:color="auto" w:fill="auto"/>
            <w:noWrap/>
            <w:vAlign w:val="bottom"/>
            <w:hideMark/>
          </w:tcPr>
          <w:p w14:paraId="6A1E7BAB"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-72368</w:t>
            </w:r>
          </w:p>
        </w:tc>
        <w:tc>
          <w:tcPr>
            <w:tcW w:w="886" w:type="dxa"/>
            <w:tcBorders>
              <w:top w:val="nil"/>
              <w:left w:val="nil"/>
              <w:bottom w:val="nil"/>
              <w:right w:val="nil"/>
            </w:tcBorders>
            <w:shd w:val="clear" w:color="auto" w:fill="auto"/>
            <w:noWrap/>
            <w:vAlign w:val="bottom"/>
            <w:hideMark/>
          </w:tcPr>
          <w:p w14:paraId="2E7B2CB5"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63995</w:t>
            </w:r>
          </w:p>
        </w:tc>
        <w:tc>
          <w:tcPr>
            <w:tcW w:w="1198" w:type="dxa"/>
            <w:tcBorders>
              <w:top w:val="nil"/>
              <w:left w:val="nil"/>
              <w:bottom w:val="nil"/>
              <w:right w:val="nil"/>
            </w:tcBorders>
            <w:shd w:val="clear" w:color="auto" w:fill="auto"/>
            <w:noWrap/>
            <w:vAlign w:val="bottom"/>
            <w:hideMark/>
          </w:tcPr>
          <w:p w14:paraId="466EF093"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0.39</w:t>
            </w:r>
          </w:p>
        </w:tc>
      </w:tr>
      <w:tr w:rsidR="00CF7072" w:rsidRPr="00CF7072" w14:paraId="42935490" w14:textId="77777777" w:rsidTr="00CF7072">
        <w:trPr>
          <w:trHeight w:val="300"/>
        </w:trPr>
        <w:tc>
          <w:tcPr>
            <w:tcW w:w="1045" w:type="dxa"/>
            <w:tcBorders>
              <w:top w:val="nil"/>
              <w:left w:val="nil"/>
              <w:bottom w:val="nil"/>
              <w:right w:val="nil"/>
            </w:tcBorders>
            <w:shd w:val="clear" w:color="auto" w:fill="auto"/>
            <w:noWrap/>
            <w:vAlign w:val="bottom"/>
            <w:hideMark/>
          </w:tcPr>
          <w:p w14:paraId="663EE28B"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FA_gain</w:t>
            </w:r>
            <w:proofErr w:type="spellEnd"/>
          </w:p>
        </w:tc>
        <w:tc>
          <w:tcPr>
            <w:tcW w:w="908" w:type="dxa"/>
            <w:tcBorders>
              <w:top w:val="nil"/>
              <w:left w:val="nil"/>
              <w:bottom w:val="nil"/>
              <w:right w:val="nil"/>
            </w:tcBorders>
            <w:shd w:val="clear" w:color="auto" w:fill="auto"/>
            <w:noWrap/>
            <w:vAlign w:val="bottom"/>
            <w:hideMark/>
          </w:tcPr>
          <w:p w14:paraId="1585C9FD"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9395</w:t>
            </w:r>
          </w:p>
        </w:tc>
        <w:tc>
          <w:tcPr>
            <w:tcW w:w="815" w:type="dxa"/>
            <w:tcBorders>
              <w:top w:val="nil"/>
              <w:left w:val="nil"/>
              <w:bottom w:val="nil"/>
              <w:right w:val="nil"/>
            </w:tcBorders>
            <w:shd w:val="clear" w:color="auto" w:fill="auto"/>
            <w:noWrap/>
            <w:vAlign w:val="bottom"/>
            <w:hideMark/>
          </w:tcPr>
          <w:p w14:paraId="48A29A12"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7490</w:t>
            </w:r>
          </w:p>
        </w:tc>
        <w:tc>
          <w:tcPr>
            <w:tcW w:w="908" w:type="dxa"/>
            <w:tcBorders>
              <w:top w:val="nil"/>
              <w:left w:val="nil"/>
              <w:bottom w:val="nil"/>
              <w:right w:val="nil"/>
            </w:tcBorders>
            <w:shd w:val="clear" w:color="auto" w:fill="auto"/>
            <w:noWrap/>
            <w:vAlign w:val="bottom"/>
            <w:hideMark/>
          </w:tcPr>
          <w:p w14:paraId="20FD6FFE"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-4366</w:t>
            </w:r>
          </w:p>
        </w:tc>
        <w:tc>
          <w:tcPr>
            <w:tcW w:w="886" w:type="dxa"/>
            <w:tcBorders>
              <w:top w:val="nil"/>
              <w:left w:val="nil"/>
              <w:bottom w:val="nil"/>
              <w:right w:val="nil"/>
            </w:tcBorders>
            <w:shd w:val="clear" w:color="auto" w:fill="auto"/>
            <w:noWrap/>
            <w:vAlign w:val="bottom"/>
            <w:hideMark/>
          </w:tcPr>
          <w:p w14:paraId="35BE39BE"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25633</w:t>
            </w:r>
          </w:p>
        </w:tc>
        <w:tc>
          <w:tcPr>
            <w:tcW w:w="1198" w:type="dxa"/>
            <w:tcBorders>
              <w:top w:val="nil"/>
              <w:left w:val="nil"/>
              <w:bottom w:val="nil"/>
              <w:right w:val="nil"/>
            </w:tcBorders>
            <w:shd w:val="clear" w:color="auto" w:fill="auto"/>
            <w:noWrap/>
            <w:vAlign w:val="bottom"/>
            <w:hideMark/>
          </w:tcPr>
          <w:p w14:paraId="5DB9F906"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0.92</w:t>
            </w:r>
          </w:p>
        </w:tc>
      </w:tr>
      <w:tr w:rsidR="00CF7072" w:rsidRPr="00CF7072" w14:paraId="7FB29AE7" w14:textId="77777777" w:rsidTr="00CF7072">
        <w:trPr>
          <w:trHeight w:val="300"/>
        </w:trPr>
        <w:tc>
          <w:tcPr>
            <w:tcW w:w="1045" w:type="dxa"/>
            <w:tcBorders>
              <w:top w:val="nil"/>
              <w:left w:val="nil"/>
              <w:bottom w:val="single" w:sz="4" w:space="0" w:color="auto"/>
              <w:right w:val="nil"/>
            </w:tcBorders>
            <w:shd w:val="clear" w:color="auto" w:fill="auto"/>
            <w:noWrap/>
            <w:vAlign w:val="bottom"/>
            <w:hideMark/>
          </w:tcPr>
          <w:p w14:paraId="291FFC0B" w14:textId="77777777" w:rsidR="00CF7072" w:rsidRPr="00CF7072" w:rsidRDefault="00CF7072" w:rsidP="00CF7072">
            <w:pPr>
              <w:spacing w:after="0" w:line="240" w:lineRule="auto"/>
              <w:rPr>
                <w:rFonts w:ascii="Calibri" w:eastAsia="Times New Roman" w:hAnsi="Calibri" w:cs="Calibri"/>
                <w:color w:val="000000"/>
              </w:rPr>
            </w:pPr>
            <w:proofErr w:type="spellStart"/>
            <w:r w:rsidRPr="00CF7072">
              <w:rPr>
                <w:rFonts w:ascii="Calibri" w:eastAsia="Times New Roman" w:hAnsi="Calibri" w:cs="Calibri"/>
                <w:color w:val="000000"/>
              </w:rPr>
              <w:t>FA_lose</w:t>
            </w:r>
            <w:proofErr w:type="spellEnd"/>
          </w:p>
        </w:tc>
        <w:tc>
          <w:tcPr>
            <w:tcW w:w="908" w:type="dxa"/>
            <w:tcBorders>
              <w:top w:val="nil"/>
              <w:left w:val="nil"/>
              <w:bottom w:val="single" w:sz="4" w:space="0" w:color="auto"/>
              <w:right w:val="nil"/>
            </w:tcBorders>
            <w:shd w:val="clear" w:color="auto" w:fill="auto"/>
            <w:noWrap/>
            <w:vAlign w:val="bottom"/>
            <w:hideMark/>
          </w:tcPr>
          <w:p w14:paraId="4B1502C5"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-2589</w:t>
            </w:r>
          </w:p>
        </w:tc>
        <w:tc>
          <w:tcPr>
            <w:tcW w:w="815" w:type="dxa"/>
            <w:tcBorders>
              <w:top w:val="nil"/>
              <w:left w:val="nil"/>
              <w:bottom w:val="single" w:sz="4" w:space="0" w:color="auto"/>
              <w:right w:val="nil"/>
            </w:tcBorders>
            <w:shd w:val="clear" w:color="auto" w:fill="auto"/>
            <w:noWrap/>
            <w:vAlign w:val="bottom"/>
            <w:hideMark/>
          </w:tcPr>
          <w:p w14:paraId="00181211"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8175</w:t>
            </w:r>
          </w:p>
        </w:tc>
        <w:tc>
          <w:tcPr>
            <w:tcW w:w="908" w:type="dxa"/>
            <w:tcBorders>
              <w:top w:val="nil"/>
              <w:left w:val="nil"/>
              <w:bottom w:val="single" w:sz="4" w:space="0" w:color="auto"/>
              <w:right w:val="nil"/>
            </w:tcBorders>
            <w:shd w:val="clear" w:color="auto" w:fill="auto"/>
            <w:noWrap/>
            <w:vAlign w:val="bottom"/>
            <w:hideMark/>
          </w:tcPr>
          <w:p w14:paraId="3679C921"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-18434</w:t>
            </w:r>
          </w:p>
        </w:tc>
        <w:tc>
          <w:tcPr>
            <w:tcW w:w="886" w:type="dxa"/>
            <w:tcBorders>
              <w:top w:val="nil"/>
              <w:left w:val="nil"/>
              <w:bottom w:val="single" w:sz="4" w:space="0" w:color="auto"/>
              <w:right w:val="nil"/>
            </w:tcBorders>
            <w:shd w:val="clear" w:color="auto" w:fill="auto"/>
            <w:noWrap/>
            <w:vAlign w:val="bottom"/>
            <w:hideMark/>
          </w:tcPr>
          <w:p w14:paraId="7925BE3E"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14735</w:t>
            </w:r>
          </w:p>
        </w:tc>
        <w:tc>
          <w:tcPr>
            <w:tcW w:w="1198" w:type="dxa"/>
            <w:tcBorders>
              <w:top w:val="nil"/>
              <w:left w:val="nil"/>
              <w:bottom w:val="single" w:sz="4" w:space="0" w:color="auto"/>
              <w:right w:val="nil"/>
            </w:tcBorders>
            <w:shd w:val="clear" w:color="auto" w:fill="auto"/>
            <w:noWrap/>
            <w:vAlign w:val="bottom"/>
            <w:hideMark/>
          </w:tcPr>
          <w:p w14:paraId="38005466" w14:textId="77777777" w:rsidR="00CF7072" w:rsidRPr="00CF7072" w:rsidRDefault="00CF7072" w:rsidP="00CF7072">
            <w:pPr>
              <w:spacing w:after="0" w:line="240" w:lineRule="auto"/>
              <w:jc w:val="right"/>
              <w:rPr>
                <w:rFonts w:ascii="Calibri" w:eastAsia="Times New Roman" w:hAnsi="Calibri" w:cs="Calibri"/>
                <w:color w:val="000000"/>
              </w:rPr>
            </w:pPr>
            <w:r w:rsidRPr="00CF7072">
              <w:rPr>
                <w:rFonts w:ascii="Calibri" w:eastAsia="Times New Roman" w:hAnsi="Calibri" w:cs="Calibri"/>
                <w:color w:val="000000"/>
              </w:rPr>
              <w:t>0.34</w:t>
            </w:r>
          </w:p>
        </w:tc>
      </w:tr>
    </w:tbl>
    <w:p w14:paraId="617E4F75" w14:textId="0CDD8AB7" w:rsidR="005A63DE" w:rsidRPr="005A63DE" w:rsidRDefault="005A63DE">
      <w:pPr>
        <w:rPr>
          <w:rFonts w:ascii="Times New Roman" w:hAnsi="Times New Roman" w:cs="Times New Roman"/>
          <w:b/>
          <w:sz w:val="24"/>
          <w:szCs w:val="24"/>
        </w:rPr>
      </w:pPr>
      <w:r>
        <w:rPr>
          <w:rFonts w:ascii="Times New Roman" w:hAnsi="Times New Roman" w:cs="Times New Roman"/>
          <w:b/>
          <w:sz w:val="24"/>
          <w:szCs w:val="24"/>
        </w:rPr>
        <w:br w:type="page"/>
      </w:r>
    </w:p>
    <w:p w14:paraId="5222DEB1" w14:textId="3C971A19" w:rsidR="007107A2" w:rsidRDefault="000805CB">
      <w:pPr>
        <w:rPr>
          <w:rFonts w:ascii="Times New Roman" w:hAnsi="Times New Roman" w:cs="Times New Roman"/>
          <w:b/>
          <w:sz w:val="24"/>
          <w:szCs w:val="24"/>
        </w:rPr>
      </w:pPr>
      <w:r>
        <w:rPr>
          <w:rFonts w:ascii="Times New Roman" w:hAnsi="Times New Roman" w:cs="Times New Roman"/>
          <w:b/>
          <w:sz w:val="24"/>
          <w:szCs w:val="24"/>
        </w:rPr>
        <w:lastRenderedPageBreak/>
        <w:t xml:space="preserve">Figure X. </w:t>
      </w:r>
      <w:r w:rsidRPr="000805CB">
        <w:rPr>
          <w:rFonts w:ascii="Times New Roman" w:hAnsi="Times New Roman" w:cs="Times New Roman"/>
          <w:sz w:val="24"/>
          <w:szCs w:val="24"/>
        </w:rPr>
        <w:t xml:space="preserve">Mean proportion of methylated genes </w:t>
      </w:r>
      <w:r>
        <w:rPr>
          <w:rFonts w:ascii="Times New Roman" w:hAnsi="Times New Roman" w:cs="Times New Roman"/>
          <w:sz w:val="24"/>
          <w:szCs w:val="24"/>
        </w:rPr>
        <w:t>at</w:t>
      </w:r>
      <w:r w:rsidRPr="000805CB">
        <w:rPr>
          <w:rFonts w:ascii="Times New Roman" w:hAnsi="Times New Roman" w:cs="Times New Roman"/>
          <w:sz w:val="24"/>
          <w:szCs w:val="24"/>
        </w:rPr>
        <w:t xml:space="preserve"> each age for dispersing and natal birds. Boxplots represent summaries of the posterior distribution</w:t>
      </w:r>
      <w:r>
        <w:rPr>
          <w:rFonts w:ascii="Times New Roman" w:hAnsi="Times New Roman" w:cs="Times New Roman"/>
          <w:sz w:val="24"/>
          <w:szCs w:val="24"/>
        </w:rPr>
        <w:t xml:space="preserve">, lines connect </w:t>
      </w:r>
      <w:bookmarkStart w:id="4" w:name="_GoBack"/>
      <w:bookmarkEnd w:id="4"/>
      <w:r w:rsidR="00C631EA">
        <w:rPr>
          <w:rFonts w:ascii="Times New Roman" w:hAnsi="Times New Roman" w:cs="Times New Roman"/>
          <w:sz w:val="24"/>
          <w:szCs w:val="24"/>
        </w:rPr>
        <w:t xml:space="preserve">estimated </w:t>
      </w:r>
      <w:r>
        <w:rPr>
          <w:rFonts w:ascii="Times New Roman" w:hAnsi="Times New Roman" w:cs="Times New Roman"/>
          <w:sz w:val="24"/>
          <w:szCs w:val="24"/>
        </w:rPr>
        <w:t>values in each stage across 1000 iterations of the posterior distribution, and data points are the raw data.</w:t>
      </w:r>
    </w:p>
    <w:p w14:paraId="02CF513B" w14:textId="7BA27DEC" w:rsidR="000805CB" w:rsidRDefault="000805C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A8836B3" wp14:editId="5DFADAA3">
            <wp:extent cx="4572000" cy="36576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box_lin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3C5B75B" w14:textId="5E795BE7" w:rsidR="000805CB" w:rsidRDefault="000805CB">
      <w:pPr>
        <w:rPr>
          <w:rFonts w:ascii="Times New Roman" w:hAnsi="Times New Roman" w:cs="Times New Roman"/>
          <w:b/>
          <w:sz w:val="24"/>
          <w:szCs w:val="24"/>
        </w:rPr>
      </w:pPr>
    </w:p>
    <w:p w14:paraId="70C78FAC" w14:textId="32DFA2C2" w:rsidR="000805CB" w:rsidRDefault="000805CB">
      <w:pPr>
        <w:rPr>
          <w:rFonts w:ascii="Times New Roman" w:hAnsi="Times New Roman" w:cs="Times New Roman"/>
          <w:b/>
          <w:sz w:val="24"/>
          <w:szCs w:val="24"/>
        </w:rPr>
      </w:pPr>
      <w:r>
        <w:rPr>
          <w:rFonts w:ascii="Times New Roman" w:hAnsi="Times New Roman" w:cs="Times New Roman"/>
          <w:b/>
          <w:sz w:val="24"/>
          <w:szCs w:val="24"/>
        </w:rPr>
        <w:br w:type="page"/>
      </w:r>
    </w:p>
    <w:p w14:paraId="66BBE7E1" w14:textId="164CC289" w:rsidR="000805CB" w:rsidRDefault="000805CB" w:rsidP="000805CB">
      <w:pPr>
        <w:rPr>
          <w:rFonts w:ascii="Times New Roman" w:hAnsi="Times New Roman" w:cs="Times New Roman"/>
          <w:b/>
          <w:sz w:val="24"/>
          <w:szCs w:val="24"/>
        </w:rPr>
      </w:pPr>
      <w:r>
        <w:rPr>
          <w:rFonts w:ascii="Times New Roman" w:hAnsi="Times New Roman" w:cs="Times New Roman"/>
          <w:b/>
          <w:sz w:val="24"/>
          <w:szCs w:val="24"/>
        </w:rPr>
        <w:lastRenderedPageBreak/>
        <w:t>Figure X</w:t>
      </w:r>
      <w:r w:rsidR="006A55B8">
        <w:rPr>
          <w:rFonts w:ascii="Times New Roman" w:hAnsi="Times New Roman" w:cs="Times New Roman"/>
          <w:b/>
          <w:sz w:val="24"/>
          <w:szCs w:val="24"/>
        </w:rPr>
        <w:t>2</w:t>
      </w:r>
      <w:r>
        <w:rPr>
          <w:rFonts w:ascii="Times New Roman" w:hAnsi="Times New Roman" w:cs="Times New Roman"/>
          <w:b/>
          <w:sz w:val="24"/>
          <w:szCs w:val="24"/>
        </w:rPr>
        <w:t xml:space="preserve">. </w:t>
      </w:r>
      <w:r w:rsidRPr="000805CB">
        <w:rPr>
          <w:rFonts w:ascii="Times New Roman" w:hAnsi="Times New Roman" w:cs="Times New Roman"/>
          <w:sz w:val="24"/>
          <w:szCs w:val="24"/>
        </w:rPr>
        <w:t xml:space="preserve">Mean </w:t>
      </w:r>
      <w:r>
        <w:rPr>
          <w:rFonts w:ascii="Times New Roman" w:hAnsi="Times New Roman" w:cs="Times New Roman"/>
          <w:sz w:val="24"/>
          <w:szCs w:val="24"/>
        </w:rPr>
        <w:t>number</w:t>
      </w:r>
      <w:r w:rsidRPr="000805CB">
        <w:rPr>
          <w:rFonts w:ascii="Times New Roman" w:hAnsi="Times New Roman" w:cs="Times New Roman"/>
          <w:sz w:val="24"/>
          <w:szCs w:val="24"/>
        </w:rPr>
        <w:t xml:space="preserve"> of methylated genes </w:t>
      </w:r>
      <w:r>
        <w:rPr>
          <w:rFonts w:ascii="Times New Roman" w:hAnsi="Times New Roman" w:cs="Times New Roman"/>
          <w:sz w:val="24"/>
          <w:szCs w:val="24"/>
        </w:rPr>
        <w:t xml:space="preserve">that either did not change, gained, or lost methylation during the transition from hatchling to fledgling or from fledgling to adult. </w:t>
      </w:r>
      <w:r w:rsidRPr="000805CB">
        <w:rPr>
          <w:rFonts w:ascii="Times New Roman" w:hAnsi="Times New Roman" w:cs="Times New Roman"/>
          <w:sz w:val="24"/>
          <w:szCs w:val="24"/>
        </w:rPr>
        <w:t>Boxplots represent summaries of the posterior distribution</w:t>
      </w:r>
      <w:r w:rsidR="009D4EC7">
        <w:rPr>
          <w:rFonts w:ascii="Times New Roman" w:hAnsi="Times New Roman" w:cs="Times New Roman"/>
          <w:sz w:val="24"/>
          <w:szCs w:val="24"/>
        </w:rPr>
        <w:t xml:space="preserve"> for each dispersing and natal birds </w:t>
      </w:r>
      <w:r>
        <w:rPr>
          <w:rFonts w:ascii="Times New Roman" w:hAnsi="Times New Roman" w:cs="Times New Roman"/>
          <w:sz w:val="24"/>
          <w:szCs w:val="24"/>
        </w:rPr>
        <w:t>and data points are the raw data.</w:t>
      </w:r>
    </w:p>
    <w:p w14:paraId="4873CE42" w14:textId="284382DE" w:rsidR="000805CB" w:rsidRPr="005A63DE" w:rsidRDefault="006A55B8">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1003C64" wp14:editId="1FD3AAD0">
            <wp:extent cx="5943600" cy="3396615"/>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change_met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sectPr w:rsidR="000805CB" w:rsidRPr="005A63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sner, Jeff S" w:date="2020-02-19T10:02:00Z" w:initials="WJS">
    <w:p w14:paraId="1FCE35C1" w14:textId="4344AA4E" w:rsidR="008C6E84" w:rsidRDefault="008C6E84">
      <w:pPr>
        <w:pStyle w:val="CommentText"/>
      </w:pPr>
      <w:r>
        <w:rPr>
          <w:rStyle w:val="CommentReference"/>
        </w:rPr>
        <w:annotationRef/>
      </w:r>
      <w:r>
        <w:t>Not sure this is the correct wording</w:t>
      </w:r>
    </w:p>
  </w:comment>
  <w:comment w:id="1" w:author="Wesner, Jeff S" w:date="2020-02-19T15:09:00Z" w:initials="WJS">
    <w:p w14:paraId="6C773DF6" w14:textId="77777777" w:rsidR="005A02FD" w:rsidRPr="005A02FD" w:rsidRDefault="005A02FD" w:rsidP="005A02FD">
      <w:pPr>
        <w:pStyle w:val="HTMLPreformatted"/>
        <w:shd w:val="clear" w:color="auto" w:fill="FFFFFF"/>
        <w:wordWrap w:val="0"/>
        <w:spacing w:line="300" w:lineRule="atLeast"/>
        <w:rPr>
          <w:rFonts w:ascii="Lucida Console" w:hAnsi="Lucida Console"/>
          <w:color w:val="404040"/>
          <w:bdr w:val="none" w:sz="0" w:space="0" w:color="auto" w:frame="1"/>
        </w:rPr>
      </w:pPr>
      <w:r>
        <w:rPr>
          <w:rStyle w:val="CommentReference"/>
        </w:rPr>
        <w:annotationRef/>
      </w:r>
      <w:r w:rsidRPr="005A02FD">
        <w:rPr>
          <w:rFonts w:ascii="Lucida Console" w:hAnsi="Lucida Console"/>
          <w:color w:val="404040"/>
          <w:bdr w:val="none" w:sz="0" w:space="0" w:color="auto" w:frame="1"/>
        </w:rPr>
        <w:t>Core Team (2019). R: A language and environment for statistical computing. R Foundation for</w:t>
      </w:r>
    </w:p>
    <w:p w14:paraId="35910094" w14:textId="77777777" w:rsidR="005A02FD" w:rsidRPr="005A02FD" w:rsidRDefault="005A02FD" w:rsidP="005A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Lucida Console" w:eastAsia="Times New Roman" w:hAnsi="Lucida Console" w:cs="Courier New"/>
          <w:color w:val="404040"/>
          <w:sz w:val="20"/>
          <w:szCs w:val="20"/>
        </w:rPr>
      </w:pPr>
      <w:r w:rsidRPr="005A02FD">
        <w:rPr>
          <w:rFonts w:ascii="Lucida Console" w:eastAsia="Times New Roman" w:hAnsi="Lucida Console" w:cs="Courier New"/>
          <w:color w:val="404040"/>
          <w:sz w:val="20"/>
          <w:szCs w:val="20"/>
          <w:bdr w:val="none" w:sz="0" w:space="0" w:color="auto" w:frame="1"/>
        </w:rPr>
        <w:t xml:space="preserve">  Statistical Computing, Vienna, Austria. URL https://www.R-project.org/.</w:t>
      </w:r>
    </w:p>
    <w:p w14:paraId="582D7899" w14:textId="63787825" w:rsidR="005A02FD" w:rsidRDefault="005A02FD">
      <w:pPr>
        <w:pStyle w:val="CommentText"/>
      </w:pPr>
    </w:p>
  </w:comment>
  <w:comment w:id="2" w:author="Wesner, Jeff S" w:date="2019-12-12T09:32:00Z" w:initials="WJS">
    <w:p w14:paraId="3682765E" w14:textId="77777777" w:rsidR="005A63DE" w:rsidRDefault="005A63DE" w:rsidP="005A63DE">
      <w:pPr>
        <w:pStyle w:val="HTMLPreformatted"/>
        <w:shd w:val="clear" w:color="auto" w:fill="FFFFFF"/>
        <w:wordWrap w:val="0"/>
        <w:spacing w:line="200" w:lineRule="atLeast"/>
        <w:rPr>
          <w:rStyle w:val="gnkrckgcgsb"/>
          <w:rFonts w:ascii="Lucida Console" w:hAnsi="Lucida Console"/>
          <w:color w:val="404040"/>
          <w:bdr w:val="none" w:sz="0" w:space="0" w:color="auto" w:frame="1"/>
        </w:rPr>
      </w:pPr>
      <w:r>
        <w:rPr>
          <w:rStyle w:val="CommentReference"/>
        </w:rPr>
        <w:annotationRef/>
      </w:r>
      <w:r>
        <w:rPr>
          <w:rStyle w:val="gnkrckgcgsb"/>
          <w:rFonts w:ascii="Lucida Console" w:hAnsi="Lucida Console"/>
          <w:color w:val="404040"/>
          <w:bdr w:val="none" w:sz="0" w:space="0" w:color="auto" w:frame="1"/>
        </w:rPr>
        <w:t>Stan Development Team (2019). RStan: the R interface to Stan. R package version</w:t>
      </w:r>
    </w:p>
    <w:p w14:paraId="4603C61F" w14:textId="77777777" w:rsidR="005A63DE" w:rsidRDefault="005A63DE" w:rsidP="005A63DE">
      <w:pPr>
        <w:pStyle w:val="HTMLPreformatted"/>
        <w:shd w:val="clear" w:color="auto" w:fill="FFFFFF"/>
        <w:wordWrap w:val="0"/>
        <w:spacing w:line="200" w:lineRule="atLeast"/>
        <w:rPr>
          <w:rFonts w:ascii="Lucida Console" w:hAnsi="Lucida Console"/>
          <w:color w:val="404040"/>
        </w:rPr>
      </w:pPr>
      <w:r>
        <w:rPr>
          <w:rStyle w:val="gnkrckgcgsb"/>
          <w:rFonts w:ascii="Lucida Console" w:hAnsi="Lucida Console"/>
          <w:color w:val="404040"/>
          <w:bdr w:val="none" w:sz="0" w:space="0" w:color="auto" w:frame="1"/>
        </w:rPr>
        <w:t xml:space="preserve">  2.19.2. http://mc-stan.org/.</w:t>
      </w:r>
    </w:p>
    <w:p w14:paraId="19D4622A" w14:textId="77777777" w:rsidR="005A63DE" w:rsidRDefault="005A63DE" w:rsidP="005A63DE">
      <w:pPr>
        <w:pStyle w:val="CommentText"/>
      </w:pPr>
    </w:p>
  </w:comment>
  <w:comment w:id="3" w:author="Wesner, Jeff S" w:date="2019-12-12T09:40:00Z" w:initials="WJS">
    <w:p w14:paraId="03C6A301" w14:textId="77777777" w:rsidR="005A63DE" w:rsidRDefault="005A63DE" w:rsidP="005A63DE">
      <w:pPr>
        <w:pStyle w:val="CommentText"/>
      </w:pPr>
      <w:r>
        <w:rPr>
          <w:rStyle w:val="CommentReference"/>
        </w:rPr>
        <w:annotationRef/>
      </w:r>
      <w:r>
        <w:rPr>
          <w:rFonts w:ascii="Arial" w:hAnsi="Arial" w:cs="Arial"/>
          <w:color w:val="222222"/>
          <w:shd w:val="clear" w:color="auto" w:fill="FFFFFF"/>
        </w:rPr>
        <w:t>Conn, Paul B., Devin S. Johnson, Perry J. Williams, Sharon R. Melin, and Mevin B. Hooten. "A guide to Bayesian model checking for ecologists." </w:t>
      </w:r>
      <w:r>
        <w:rPr>
          <w:rFonts w:ascii="Arial" w:hAnsi="Arial" w:cs="Arial"/>
          <w:i/>
          <w:iCs/>
          <w:color w:val="222222"/>
          <w:shd w:val="clear" w:color="auto" w:fill="FFFFFF"/>
        </w:rPr>
        <w:t>Ecological Monographs</w:t>
      </w:r>
      <w:r>
        <w:rPr>
          <w:rFonts w:ascii="Arial" w:hAnsi="Arial" w:cs="Arial"/>
          <w:color w:val="222222"/>
          <w:shd w:val="clear" w:color="auto" w:fill="FFFFFF"/>
        </w:rPr>
        <w:t> 88, no. 4 (2018): 526-542.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E35C1" w15:done="0"/>
  <w15:commentEx w15:paraId="582D7899" w15:done="0"/>
  <w15:commentEx w15:paraId="19D4622A" w15:done="0"/>
  <w15:commentEx w15:paraId="03C6A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E35C1" w16cid:durableId="21F78629"/>
  <w16cid:commentId w16cid:paraId="582D7899" w16cid:durableId="21F7CE26"/>
  <w16cid:commentId w16cid:paraId="19D4622A" w16cid:durableId="219C879C"/>
  <w16cid:commentId w16cid:paraId="03C6A301" w16cid:durableId="219C89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DE"/>
    <w:rsid w:val="000805CB"/>
    <w:rsid w:val="000F03E2"/>
    <w:rsid w:val="00164FE2"/>
    <w:rsid w:val="002A4E06"/>
    <w:rsid w:val="00561868"/>
    <w:rsid w:val="005A02FD"/>
    <w:rsid w:val="005A63DE"/>
    <w:rsid w:val="006A55B8"/>
    <w:rsid w:val="007107A2"/>
    <w:rsid w:val="007A2717"/>
    <w:rsid w:val="008C6E84"/>
    <w:rsid w:val="009D4EC7"/>
    <w:rsid w:val="00B4301F"/>
    <w:rsid w:val="00C01B5F"/>
    <w:rsid w:val="00C631EA"/>
    <w:rsid w:val="00CF7072"/>
    <w:rsid w:val="00D84949"/>
    <w:rsid w:val="00E03CBD"/>
    <w:rsid w:val="00FE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35E4"/>
  <w15:chartTrackingRefBased/>
  <w15:docId w15:val="{DDD1630F-3930-4B60-BEDF-C83A9E2E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3DE"/>
    <w:rPr>
      <w:sz w:val="16"/>
      <w:szCs w:val="16"/>
    </w:rPr>
  </w:style>
  <w:style w:type="paragraph" w:styleId="CommentText">
    <w:name w:val="annotation text"/>
    <w:basedOn w:val="Normal"/>
    <w:link w:val="CommentTextChar"/>
    <w:uiPriority w:val="99"/>
    <w:semiHidden/>
    <w:unhideWhenUsed/>
    <w:rsid w:val="005A63DE"/>
    <w:pPr>
      <w:spacing w:line="240" w:lineRule="auto"/>
    </w:pPr>
    <w:rPr>
      <w:sz w:val="20"/>
      <w:szCs w:val="20"/>
    </w:rPr>
  </w:style>
  <w:style w:type="character" w:customStyle="1" w:styleId="CommentTextChar">
    <w:name w:val="Comment Text Char"/>
    <w:basedOn w:val="DefaultParagraphFont"/>
    <w:link w:val="CommentText"/>
    <w:uiPriority w:val="99"/>
    <w:semiHidden/>
    <w:rsid w:val="005A63DE"/>
    <w:rPr>
      <w:sz w:val="20"/>
      <w:szCs w:val="20"/>
    </w:rPr>
  </w:style>
  <w:style w:type="paragraph" w:styleId="HTMLPreformatted">
    <w:name w:val="HTML Preformatted"/>
    <w:basedOn w:val="Normal"/>
    <w:link w:val="HTMLPreformattedChar"/>
    <w:uiPriority w:val="99"/>
    <w:semiHidden/>
    <w:unhideWhenUsed/>
    <w:rsid w:val="005A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63DE"/>
    <w:rPr>
      <w:rFonts w:ascii="Courier New" w:eastAsia="Times New Roman" w:hAnsi="Courier New" w:cs="Courier New"/>
      <w:sz w:val="20"/>
      <w:szCs w:val="20"/>
    </w:rPr>
  </w:style>
  <w:style w:type="character" w:customStyle="1" w:styleId="gnkrckgcgsb">
    <w:name w:val="gnkrckgcgsb"/>
    <w:basedOn w:val="DefaultParagraphFont"/>
    <w:rsid w:val="005A63DE"/>
  </w:style>
  <w:style w:type="character" w:styleId="Hyperlink">
    <w:name w:val="Hyperlink"/>
    <w:basedOn w:val="DefaultParagraphFont"/>
    <w:uiPriority w:val="99"/>
    <w:unhideWhenUsed/>
    <w:rsid w:val="005A63DE"/>
    <w:rPr>
      <w:color w:val="0563C1" w:themeColor="hyperlink"/>
      <w:u w:val="single"/>
    </w:rPr>
  </w:style>
  <w:style w:type="character" w:styleId="UnresolvedMention">
    <w:name w:val="Unresolved Mention"/>
    <w:basedOn w:val="DefaultParagraphFont"/>
    <w:uiPriority w:val="99"/>
    <w:semiHidden/>
    <w:unhideWhenUsed/>
    <w:rsid w:val="005A63DE"/>
    <w:rPr>
      <w:color w:val="605E5C"/>
      <w:shd w:val="clear" w:color="auto" w:fill="E1DFDD"/>
    </w:rPr>
  </w:style>
  <w:style w:type="paragraph" w:styleId="BalloonText">
    <w:name w:val="Balloon Text"/>
    <w:basedOn w:val="Normal"/>
    <w:link w:val="BalloonTextChar"/>
    <w:uiPriority w:val="99"/>
    <w:semiHidden/>
    <w:unhideWhenUsed/>
    <w:rsid w:val="00164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FE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C6E84"/>
    <w:rPr>
      <w:b/>
      <w:bCs/>
    </w:rPr>
  </w:style>
  <w:style w:type="character" w:customStyle="1" w:styleId="CommentSubjectChar">
    <w:name w:val="Comment Subject Char"/>
    <w:basedOn w:val="CommentTextChar"/>
    <w:link w:val="CommentSubject"/>
    <w:uiPriority w:val="99"/>
    <w:semiHidden/>
    <w:rsid w:val="008C6E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1061">
      <w:bodyDiv w:val="1"/>
      <w:marLeft w:val="0"/>
      <w:marRight w:val="0"/>
      <w:marTop w:val="0"/>
      <w:marBottom w:val="0"/>
      <w:divBdr>
        <w:top w:val="none" w:sz="0" w:space="0" w:color="auto"/>
        <w:left w:val="none" w:sz="0" w:space="0" w:color="auto"/>
        <w:bottom w:val="none" w:sz="0" w:space="0" w:color="auto"/>
        <w:right w:val="none" w:sz="0" w:space="0" w:color="auto"/>
      </w:divBdr>
    </w:div>
    <w:div w:id="357194410">
      <w:bodyDiv w:val="1"/>
      <w:marLeft w:val="0"/>
      <w:marRight w:val="0"/>
      <w:marTop w:val="0"/>
      <w:marBottom w:val="0"/>
      <w:divBdr>
        <w:top w:val="none" w:sz="0" w:space="0" w:color="auto"/>
        <w:left w:val="none" w:sz="0" w:space="0" w:color="auto"/>
        <w:bottom w:val="none" w:sz="0" w:space="0" w:color="auto"/>
        <w:right w:val="none" w:sz="0" w:space="0" w:color="auto"/>
      </w:divBdr>
      <w:divsChild>
        <w:div w:id="1311783847">
          <w:marLeft w:val="0"/>
          <w:marRight w:val="0"/>
          <w:marTop w:val="0"/>
          <w:marBottom w:val="0"/>
          <w:divBdr>
            <w:top w:val="none" w:sz="0" w:space="0" w:color="auto"/>
            <w:left w:val="none" w:sz="0" w:space="0" w:color="auto"/>
            <w:bottom w:val="none" w:sz="0" w:space="0" w:color="auto"/>
            <w:right w:val="none" w:sz="0" w:space="0" w:color="auto"/>
          </w:divBdr>
          <w:divsChild>
            <w:div w:id="646934838">
              <w:marLeft w:val="0"/>
              <w:marRight w:val="0"/>
              <w:marTop w:val="0"/>
              <w:marBottom w:val="0"/>
              <w:divBdr>
                <w:top w:val="none" w:sz="0" w:space="0" w:color="auto"/>
                <w:left w:val="none" w:sz="0" w:space="0" w:color="auto"/>
                <w:bottom w:val="none" w:sz="0" w:space="0" w:color="auto"/>
                <w:right w:val="none" w:sz="0" w:space="0" w:color="auto"/>
              </w:divBdr>
            </w:div>
          </w:divsChild>
        </w:div>
        <w:div w:id="703285880">
          <w:marLeft w:val="0"/>
          <w:marRight w:val="0"/>
          <w:marTop w:val="0"/>
          <w:marBottom w:val="0"/>
          <w:divBdr>
            <w:top w:val="none" w:sz="0" w:space="0" w:color="auto"/>
            <w:left w:val="none" w:sz="0" w:space="0" w:color="auto"/>
            <w:bottom w:val="none" w:sz="0" w:space="0" w:color="auto"/>
            <w:right w:val="none" w:sz="0" w:space="0" w:color="auto"/>
          </w:divBdr>
          <w:divsChild>
            <w:div w:id="413287890">
              <w:marLeft w:val="0"/>
              <w:marRight w:val="0"/>
              <w:marTop w:val="0"/>
              <w:marBottom w:val="0"/>
              <w:divBdr>
                <w:top w:val="none" w:sz="0" w:space="0" w:color="auto"/>
                <w:left w:val="none" w:sz="0" w:space="0" w:color="auto"/>
                <w:bottom w:val="none" w:sz="0" w:space="0" w:color="auto"/>
                <w:right w:val="none" w:sz="0" w:space="0" w:color="auto"/>
              </w:divBdr>
            </w:div>
          </w:divsChild>
        </w:div>
        <w:div w:id="71782843">
          <w:marLeft w:val="0"/>
          <w:marRight w:val="0"/>
          <w:marTop w:val="0"/>
          <w:marBottom w:val="0"/>
          <w:divBdr>
            <w:top w:val="none" w:sz="0" w:space="0" w:color="auto"/>
            <w:left w:val="none" w:sz="0" w:space="0" w:color="auto"/>
            <w:bottom w:val="none" w:sz="0" w:space="0" w:color="auto"/>
            <w:right w:val="none" w:sz="0" w:space="0" w:color="auto"/>
          </w:divBdr>
          <w:divsChild>
            <w:div w:id="2126731414">
              <w:marLeft w:val="0"/>
              <w:marRight w:val="0"/>
              <w:marTop w:val="0"/>
              <w:marBottom w:val="0"/>
              <w:divBdr>
                <w:top w:val="none" w:sz="0" w:space="0" w:color="auto"/>
                <w:left w:val="none" w:sz="0" w:space="0" w:color="auto"/>
                <w:bottom w:val="none" w:sz="0" w:space="0" w:color="auto"/>
                <w:right w:val="none" w:sz="0" w:space="0" w:color="auto"/>
              </w:divBdr>
            </w:div>
          </w:divsChild>
        </w:div>
        <w:div w:id="95715063">
          <w:marLeft w:val="0"/>
          <w:marRight w:val="0"/>
          <w:marTop w:val="0"/>
          <w:marBottom w:val="0"/>
          <w:divBdr>
            <w:top w:val="none" w:sz="0" w:space="0" w:color="auto"/>
            <w:left w:val="none" w:sz="0" w:space="0" w:color="auto"/>
            <w:bottom w:val="none" w:sz="0" w:space="0" w:color="auto"/>
            <w:right w:val="none" w:sz="0" w:space="0" w:color="auto"/>
          </w:divBdr>
        </w:div>
        <w:div w:id="1472673338">
          <w:marLeft w:val="0"/>
          <w:marRight w:val="0"/>
          <w:marTop w:val="0"/>
          <w:marBottom w:val="0"/>
          <w:divBdr>
            <w:top w:val="none" w:sz="0" w:space="0" w:color="auto"/>
            <w:left w:val="none" w:sz="0" w:space="0" w:color="auto"/>
            <w:bottom w:val="none" w:sz="0" w:space="0" w:color="auto"/>
            <w:right w:val="none" w:sz="0" w:space="0" w:color="auto"/>
          </w:divBdr>
          <w:divsChild>
            <w:div w:id="74013434">
              <w:marLeft w:val="0"/>
              <w:marRight w:val="0"/>
              <w:marTop w:val="0"/>
              <w:marBottom w:val="0"/>
              <w:divBdr>
                <w:top w:val="none" w:sz="0" w:space="0" w:color="auto"/>
                <w:left w:val="none" w:sz="0" w:space="0" w:color="auto"/>
                <w:bottom w:val="none" w:sz="0" w:space="0" w:color="auto"/>
                <w:right w:val="none" w:sz="0" w:space="0" w:color="auto"/>
              </w:divBdr>
            </w:div>
          </w:divsChild>
        </w:div>
        <w:div w:id="1781295014">
          <w:marLeft w:val="0"/>
          <w:marRight w:val="0"/>
          <w:marTop w:val="0"/>
          <w:marBottom w:val="0"/>
          <w:divBdr>
            <w:top w:val="none" w:sz="0" w:space="0" w:color="auto"/>
            <w:left w:val="none" w:sz="0" w:space="0" w:color="auto"/>
            <w:bottom w:val="none" w:sz="0" w:space="0" w:color="auto"/>
            <w:right w:val="none" w:sz="0" w:space="0" w:color="auto"/>
          </w:divBdr>
        </w:div>
        <w:div w:id="67075607">
          <w:marLeft w:val="0"/>
          <w:marRight w:val="0"/>
          <w:marTop w:val="0"/>
          <w:marBottom w:val="0"/>
          <w:divBdr>
            <w:top w:val="none" w:sz="0" w:space="0" w:color="auto"/>
            <w:left w:val="none" w:sz="0" w:space="0" w:color="auto"/>
            <w:bottom w:val="none" w:sz="0" w:space="0" w:color="auto"/>
            <w:right w:val="none" w:sz="0" w:space="0" w:color="auto"/>
          </w:divBdr>
        </w:div>
        <w:div w:id="1147933720">
          <w:marLeft w:val="0"/>
          <w:marRight w:val="0"/>
          <w:marTop w:val="0"/>
          <w:marBottom w:val="0"/>
          <w:divBdr>
            <w:top w:val="none" w:sz="0" w:space="0" w:color="auto"/>
            <w:left w:val="none" w:sz="0" w:space="0" w:color="auto"/>
            <w:bottom w:val="none" w:sz="0" w:space="0" w:color="auto"/>
            <w:right w:val="none" w:sz="0" w:space="0" w:color="auto"/>
          </w:divBdr>
          <w:divsChild>
            <w:div w:id="1671173493">
              <w:marLeft w:val="0"/>
              <w:marRight w:val="0"/>
              <w:marTop w:val="0"/>
              <w:marBottom w:val="0"/>
              <w:divBdr>
                <w:top w:val="none" w:sz="0" w:space="0" w:color="auto"/>
                <w:left w:val="none" w:sz="0" w:space="0" w:color="auto"/>
                <w:bottom w:val="none" w:sz="0" w:space="0" w:color="auto"/>
                <w:right w:val="none" w:sz="0" w:space="0" w:color="auto"/>
              </w:divBdr>
            </w:div>
          </w:divsChild>
        </w:div>
        <w:div w:id="1054306349">
          <w:marLeft w:val="0"/>
          <w:marRight w:val="0"/>
          <w:marTop w:val="0"/>
          <w:marBottom w:val="0"/>
          <w:divBdr>
            <w:top w:val="none" w:sz="0" w:space="0" w:color="auto"/>
            <w:left w:val="none" w:sz="0" w:space="0" w:color="auto"/>
            <w:bottom w:val="none" w:sz="0" w:space="0" w:color="auto"/>
            <w:right w:val="none" w:sz="0" w:space="0" w:color="auto"/>
          </w:divBdr>
          <w:divsChild>
            <w:div w:id="1649287842">
              <w:marLeft w:val="0"/>
              <w:marRight w:val="0"/>
              <w:marTop w:val="0"/>
              <w:marBottom w:val="0"/>
              <w:divBdr>
                <w:top w:val="none" w:sz="0" w:space="0" w:color="auto"/>
                <w:left w:val="none" w:sz="0" w:space="0" w:color="auto"/>
                <w:bottom w:val="none" w:sz="0" w:space="0" w:color="auto"/>
                <w:right w:val="none" w:sz="0" w:space="0" w:color="auto"/>
              </w:divBdr>
            </w:div>
          </w:divsChild>
        </w:div>
        <w:div w:id="930507137">
          <w:marLeft w:val="0"/>
          <w:marRight w:val="0"/>
          <w:marTop w:val="0"/>
          <w:marBottom w:val="0"/>
          <w:divBdr>
            <w:top w:val="none" w:sz="0" w:space="0" w:color="auto"/>
            <w:left w:val="none" w:sz="0" w:space="0" w:color="auto"/>
            <w:bottom w:val="none" w:sz="0" w:space="0" w:color="auto"/>
            <w:right w:val="none" w:sz="0" w:space="0" w:color="auto"/>
          </w:divBdr>
          <w:divsChild>
            <w:div w:id="320932963">
              <w:marLeft w:val="0"/>
              <w:marRight w:val="0"/>
              <w:marTop w:val="0"/>
              <w:marBottom w:val="0"/>
              <w:divBdr>
                <w:top w:val="none" w:sz="0" w:space="0" w:color="auto"/>
                <w:left w:val="none" w:sz="0" w:space="0" w:color="auto"/>
                <w:bottom w:val="none" w:sz="0" w:space="0" w:color="auto"/>
                <w:right w:val="none" w:sz="0" w:space="0" w:color="auto"/>
              </w:divBdr>
            </w:div>
          </w:divsChild>
        </w:div>
        <w:div w:id="437068949">
          <w:marLeft w:val="0"/>
          <w:marRight w:val="0"/>
          <w:marTop w:val="0"/>
          <w:marBottom w:val="0"/>
          <w:divBdr>
            <w:top w:val="none" w:sz="0" w:space="0" w:color="auto"/>
            <w:left w:val="none" w:sz="0" w:space="0" w:color="auto"/>
            <w:bottom w:val="none" w:sz="0" w:space="0" w:color="auto"/>
            <w:right w:val="none" w:sz="0" w:space="0" w:color="auto"/>
          </w:divBdr>
        </w:div>
        <w:div w:id="1492981874">
          <w:marLeft w:val="0"/>
          <w:marRight w:val="0"/>
          <w:marTop w:val="0"/>
          <w:marBottom w:val="0"/>
          <w:divBdr>
            <w:top w:val="none" w:sz="0" w:space="0" w:color="auto"/>
            <w:left w:val="none" w:sz="0" w:space="0" w:color="auto"/>
            <w:bottom w:val="none" w:sz="0" w:space="0" w:color="auto"/>
            <w:right w:val="none" w:sz="0" w:space="0" w:color="auto"/>
          </w:divBdr>
          <w:divsChild>
            <w:div w:id="148594754">
              <w:marLeft w:val="0"/>
              <w:marRight w:val="0"/>
              <w:marTop w:val="0"/>
              <w:marBottom w:val="0"/>
              <w:divBdr>
                <w:top w:val="none" w:sz="0" w:space="0" w:color="auto"/>
                <w:left w:val="none" w:sz="0" w:space="0" w:color="auto"/>
                <w:bottom w:val="none" w:sz="0" w:space="0" w:color="auto"/>
                <w:right w:val="none" w:sz="0" w:space="0" w:color="auto"/>
              </w:divBdr>
            </w:div>
          </w:divsChild>
        </w:div>
        <w:div w:id="1842701122">
          <w:marLeft w:val="0"/>
          <w:marRight w:val="0"/>
          <w:marTop w:val="0"/>
          <w:marBottom w:val="0"/>
          <w:divBdr>
            <w:top w:val="none" w:sz="0" w:space="0" w:color="auto"/>
            <w:left w:val="none" w:sz="0" w:space="0" w:color="auto"/>
            <w:bottom w:val="none" w:sz="0" w:space="0" w:color="auto"/>
            <w:right w:val="none" w:sz="0" w:space="0" w:color="auto"/>
          </w:divBdr>
        </w:div>
        <w:div w:id="2088648224">
          <w:marLeft w:val="0"/>
          <w:marRight w:val="0"/>
          <w:marTop w:val="0"/>
          <w:marBottom w:val="0"/>
          <w:divBdr>
            <w:top w:val="none" w:sz="0" w:space="0" w:color="auto"/>
            <w:left w:val="none" w:sz="0" w:space="0" w:color="auto"/>
            <w:bottom w:val="none" w:sz="0" w:space="0" w:color="auto"/>
            <w:right w:val="none" w:sz="0" w:space="0" w:color="auto"/>
          </w:divBdr>
        </w:div>
        <w:div w:id="1385642902">
          <w:marLeft w:val="0"/>
          <w:marRight w:val="0"/>
          <w:marTop w:val="0"/>
          <w:marBottom w:val="0"/>
          <w:divBdr>
            <w:top w:val="none" w:sz="0" w:space="0" w:color="auto"/>
            <w:left w:val="none" w:sz="0" w:space="0" w:color="auto"/>
            <w:bottom w:val="none" w:sz="0" w:space="0" w:color="auto"/>
            <w:right w:val="none" w:sz="0" w:space="0" w:color="auto"/>
          </w:divBdr>
          <w:divsChild>
            <w:div w:id="2108033897">
              <w:marLeft w:val="0"/>
              <w:marRight w:val="0"/>
              <w:marTop w:val="0"/>
              <w:marBottom w:val="0"/>
              <w:divBdr>
                <w:top w:val="none" w:sz="0" w:space="0" w:color="auto"/>
                <w:left w:val="none" w:sz="0" w:space="0" w:color="auto"/>
                <w:bottom w:val="none" w:sz="0" w:space="0" w:color="auto"/>
                <w:right w:val="none" w:sz="0" w:space="0" w:color="auto"/>
              </w:divBdr>
            </w:div>
          </w:divsChild>
        </w:div>
        <w:div w:id="622541022">
          <w:marLeft w:val="0"/>
          <w:marRight w:val="0"/>
          <w:marTop w:val="0"/>
          <w:marBottom w:val="0"/>
          <w:divBdr>
            <w:top w:val="none" w:sz="0" w:space="0" w:color="auto"/>
            <w:left w:val="none" w:sz="0" w:space="0" w:color="auto"/>
            <w:bottom w:val="none" w:sz="0" w:space="0" w:color="auto"/>
            <w:right w:val="none" w:sz="0" w:space="0" w:color="auto"/>
          </w:divBdr>
          <w:divsChild>
            <w:div w:id="263736159">
              <w:marLeft w:val="0"/>
              <w:marRight w:val="0"/>
              <w:marTop w:val="0"/>
              <w:marBottom w:val="0"/>
              <w:divBdr>
                <w:top w:val="none" w:sz="0" w:space="0" w:color="auto"/>
                <w:left w:val="none" w:sz="0" w:space="0" w:color="auto"/>
                <w:bottom w:val="none" w:sz="0" w:space="0" w:color="auto"/>
                <w:right w:val="none" w:sz="0" w:space="0" w:color="auto"/>
              </w:divBdr>
            </w:div>
          </w:divsChild>
        </w:div>
        <w:div w:id="352150928">
          <w:marLeft w:val="0"/>
          <w:marRight w:val="0"/>
          <w:marTop w:val="0"/>
          <w:marBottom w:val="0"/>
          <w:divBdr>
            <w:top w:val="none" w:sz="0" w:space="0" w:color="auto"/>
            <w:left w:val="none" w:sz="0" w:space="0" w:color="auto"/>
            <w:bottom w:val="none" w:sz="0" w:space="0" w:color="auto"/>
            <w:right w:val="none" w:sz="0" w:space="0" w:color="auto"/>
          </w:divBdr>
          <w:divsChild>
            <w:div w:id="771820318">
              <w:marLeft w:val="0"/>
              <w:marRight w:val="0"/>
              <w:marTop w:val="0"/>
              <w:marBottom w:val="0"/>
              <w:divBdr>
                <w:top w:val="none" w:sz="0" w:space="0" w:color="auto"/>
                <w:left w:val="none" w:sz="0" w:space="0" w:color="auto"/>
                <w:bottom w:val="none" w:sz="0" w:space="0" w:color="auto"/>
                <w:right w:val="none" w:sz="0" w:space="0" w:color="auto"/>
              </w:divBdr>
            </w:div>
          </w:divsChild>
        </w:div>
        <w:div w:id="1928926539">
          <w:marLeft w:val="0"/>
          <w:marRight w:val="0"/>
          <w:marTop w:val="0"/>
          <w:marBottom w:val="0"/>
          <w:divBdr>
            <w:top w:val="none" w:sz="0" w:space="0" w:color="auto"/>
            <w:left w:val="none" w:sz="0" w:space="0" w:color="auto"/>
            <w:bottom w:val="none" w:sz="0" w:space="0" w:color="auto"/>
            <w:right w:val="none" w:sz="0" w:space="0" w:color="auto"/>
          </w:divBdr>
        </w:div>
        <w:div w:id="1951548782">
          <w:marLeft w:val="0"/>
          <w:marRight w:val="0"/>
          <w:marTop w:val="0"/>
          <w:marBottom w:val="0"/>
          <w:divBdr>
            <w:top w:val="none" w:sz="0" w:space="0" w:color="auto"/>
            <w:left w:val="none" w:sz="0" w:space="0" w:color="auto"/>
            <w:bottom w:val="none" w:sz="0" w:space="0" w:color="auto"/>
            <w:right w:val="none" w:sz="0" w:space="0" w:color="auto"/>
          </w:divBdr>
          <w:divsChild>
            <w:div w:id="1939366281">
              <w:marLeft w:val="0"/>
              <w:marRight w:val="0"/>
              <w:marTop w:val="0"/>
              <w:marBottom w:val="0"/>
              <w:divBdr>
                <w:top w:val="none" w:sz="0" w:space="0" w:color="auto"/>
                <w:left w:val="none" w:sz="0" w:space="0" w:color="auto"/>
                <w:bottom w:val="none" w:sz="0" w:space="0" w:color="auto"/>
                <w:right w:val="none" w:sz="0" w:space="0" w:color="auto"/>
              </w:divBdr>
            </w:div>
          </w:divsChild>
        </w:div>
        <w:div w:id="583415422">
          <w:marLeft w:val="0"/>
          <w:marRight w:val="0"/>
          <w:marTop w:val="0"/>
          <w:marBottom w:val="0"/>
          <w:divBdr>
            <w:top w:val="none" w:sz="0" w:space="0" w:color="auto"/>
            <w:left w:val="none" w:sz="0" w:space="0" w:color="auto"/>
            <w:bottom w:val="none" w:sz="0" w:space="0" w:color="auto"/>
            <w:right w:val="none" w:sz="0" w:space="0" w:color="auto"/>
          </w:divBdr>
        </w:div>
        <w:div w:id="260064226">
          <w:marLeft w:val="0"/>
          <w:marRight w:val="0"/>
          <w:marTop w:val="0"/>
          <w:marBottom w:val="0"/>
          <w:divBdr>
            <w:top w:val="none" w:sz="0" w:space="0" w:color="auto"/>
            <w:left w:val="none" w:sz="0" w:space="0" w:color="auto"/>
            <w:bottom w:val="none" w:sz="0" w:space="0" w:color="auto"/>
            <w:right w:val="none" w:sz="0" w:space="0" w:color="auto"/>
          </w:divBdr>
        </w:div>
        <w:div w:id="779420808">
          <w:marLeft w:val="0"/>
          <w:marRight w:val="0"/>
          <w:marTop w:val="0"/>
          <w:marBottom w:val="0"/>
          <w:divBdr>
            <w:top w:val="none" w:sz="0" w:space="0" w:color="auto"/>
            <w:left w:val="none" w:sz="0" w:space="0" w:color="auto"/>
            <w:bottom w:val="none" w:sz="0" w:space="0" w:color="auto"/>
            <w:right w:val="none" w:sz="0" w:space="0" w:color="auto"/>
          </w:divBdr>
          <w:divsChild>
            <w:div w:id="1469130949">
              <w:marLeft w:val="0"/>
              <w:marRight w:val="0"/>
              <w:marTop w:val="0"/>
              <w:marBottom w:val="0"/>
              <w:divBdr>
                <w:top w:val="none" w:sz="0" w:space="0" w:color="auto"/>
                <w:left w:val="none" w:sz="0" w:space="0" w:color="auto"/>
                <w:bottom w:val="none" w:sz="0" w:space="0" w:color="auto"/>
                <w:right w:val="none" w:sz="0" w:space="0" w:color="auto"/>
              </w:divBdr>
            </w:div>
          </w:divsChild>
        </w:div>
        <w:div w:id="778258309">
          <w:marLeft w:val="0"/>
          <w:marRight w:val="0"/>
          <w:marTop w:val="0"/>
          <w:marBottom w:val="0"/>
          <w:divBdr>
            <w:top w:val="none" w:sz="0" w:space="0" w:color="auto"/>
            <w:left w:val="none" w:sz="0" w:space="0" w:color="auto"/>
            <w:bottom w:val="none" w:sz="0" w:space="0" w:color="auto"/>
            <w:right w:val="none" w:sz="0" w:space="0" w:color="auto"/>
          </w:divBdr>
          <w:divsChild>
            <w:div w:id="1285847196">
              <w:marLeft w:val="0"/>
              <w:marRight w:val="0"/>
              <w:marTop w:val="0"/>
              <w:marBottom w:val="0"/>
              <w:divBdr>
                <w:top w:val="none" w:sz="0" w:space="0" w:color="auto"/>
                <w:left w:val="none" w:sz="0" w:space="0" w:color="auto"/>
                <w:bottom w:val="none" w:sz="0" w:space="0" w:color="auto"/>
                <w:right w:val="none" w:sz="0" w:space="0" w:color="auto"/>
              </w:divBdr>
            </w:div>
          </w:divsChild>
        </w:div>
        <w:div w:id="1660036047">
          <w:marLeft w:val="0"/>
          <w:marRight w:val="0"/>
          <w:marTop w:val="0"/>
          <w:marBottom w:val="0"/>
          <w:divBdr>
            <w:top w:val="none" w:sz="0" w:space="0" w:color="auto"/>
            <w:left w:val="none" w:sz="0" w:space="0" w:color="auto"/>
            <w:bottom w:val="none" w:sz="0" w:space="0" w:color="auto"/>
            <w:right w:val="none" w:sz="0" w:space="0" w:color="auto"/>
          </w:divBdr>
          <w:divsChild>
            <w:div w:id="1258901779">
              <w:marLeft w:val="0"/>
              <w:marRight w:val="0"/>
              <w:marTop w:val="0"/>
              <w:marBottom w:val="0"/>
              <w:divBdr>
                <w:top w:val="none" w:sz="0" w:space="0" w:color="auto"/>
                <w:left w:val="none" w:sz="0" w:space="0" w:color="auto"/>
                <w:bottom w:val="none" w:sz="0" w:space="0" w:color="auto"/>
                <w:right w:val="none" w:sz="0" w:space="0" w:color="auto"/>
              </w:divBdr>
            </w:div>
          </w:divsChild>
        </w:div>
        <w:div w:id="1175920289">
          <w:marLeft w:val="0"/>
          <w:marRight w:val="0"/>
          <w:marTop w:val="0"/>
          <w:marBottom w:val="0"/>
          <w:divBdr>
            <w:top w:val="none" w:sz="0" w:space="0" w:color="auto"/>
            <w:left w:val="none" w:sz="0" w:space="0" w:color="auto"/>
            <w:bottom w:val="none" w:sz="0" w:space="0" w:color="auto"/>
            <w:right w:val="none" w:sz="0" w:space="0" w:color="auto"/>
          </w:divBdr>
        </w:div>
        <w:div w:id="1477141959">
          <w:marLeft w:val="0"/>
          <w:marRight w:val="0"/>
          <w:marTop w:val="0"/>
          <w:marBottom w:val="0"/>
          <w:divBdr>
            <w:top w:val="none" w:sz="0" w:space="0" w:color="auto"/>
            <w:left w:val="none" w:sz="0" w:space="0" w:color="auto"/>
            <w:bottom w:val="none" w:sz="0" w:space="0" w:color="auto"/>
            <w:right w:val="none" w:sz="0" w:space="0" w:color="auto"/>
          </w:divBdr>
          <w:divsChild>
            <w:div w:id="691764372">
              <w:marLeft w:val="0"/>
              <w:marRight w:val="0"/>
              <w:marTop w:val="0"/>
              <w:marBottom w:val="0"/>
              <w:divBdr>
                <w:top w:val="none" w:sz="0" w:space="0" w:color="auto"/>
                <w:left w:val="none" w:sz="0" w:space="0" w:color="auto"/>
                <w:bottom w:val="none" w:sz="0" w:space="0" w:color="auto"/>
                <w:right w:val="none" w:sz="0" w:space="0" w:color="auto"/>
              </w:divBdr>
            </w:div>
          </w:divsChild>
        </w:div>
        <w:div w:id="704216883">
          <w:marLeft w:val="0"/>
          <w:marRight w:val="0"/>
          <w:marTop w:val="0"/>
          <w:marBottom w:val="0"/>
          <w:divBdr>
            <w:top w:val="none" w:sz="0" w:space="0" w:color="auto"/>
            <w:left w:val="none" w:sz="0" w:space="0" w:color="auto"/>
            <w:bottom w:val="none" w:sz="0" w:space="0" w:color="auto"/>
            <w:right w:val="none" w:sz="0" w:space="0" w:color="auto"/>
          </w:divBdr>
        </w:div>
        <w:div w:id="1878468854">
          <w:marLeft w:val="0"/>
          <w:marRight w:val="0"/>
          <w:marTop w:val="0"/>
          <w:marBottom w:val="0"/>
          <w:divBdr>
            <w:top w:val="none" w:sz="0" w:space="0" w:color="auto"/>
            <w:left w:val="none" w:sz="0" w:space="0" w:color="auto"/>
            <w:bottom w:val="none" w:sz="0" w:space="0" w:color="auto"/>
            <w:right w:val="none" w:sz="0" w:space="0" w:color="auto"/>
          </w:divBdr>
        </w:div>
        <w:div w:id="582036381">
          <w:marLeft w:val="0"/>
          <w:marRight w:val="0"/>
          <w:marTop w:val="0"/>
          <w:marBottom w:val="0"/>
          <w:divBdr>
            <w:top w:val="none" w:sz="0" w:space="0" w:color="auto"/>
            <w:left w:val="none" w:sz="0" w:space="0" w:color="auto"/>
            <w:bottom w:val="none" w:sz="0" w:space="0" w:color="auto"/>
            <w:right w:val="none" w:sz="0" w:space="0" w:color="auto"/>
          </w:divBdr>
          <w:divsChild>
            <w:div w:id="19473271">
              <w:marLeft w:val="0"/>
              <w:marRight w:val="0"/>
              <w:marTop w:val="0"/>
              <w:marBottom w:val="0"/>
              <w:divBdr>
                <w:top w:val="none" w:sz="0" w:space="0" w:color="auto"/>
                <w:left w:val="none" w:sz="0" w:space="0" w:color="auto"/>
                <w:bottom w:val="none" w:sz="0" w:space="0" w:color="auto"/>
                <w:right w:val="none" w:sz="0" w:space="0" w:color="auto"/>
              </w:divBdr>
            </w:div>
          </w:divsChild>
        </w:div>
        <w:div w:id="286352340">
          <w:marLeft w:val="0"/>
          <w:marRight w:val="0"/>
          <w:marTop w:val="0"/>
          <w:marBottom w:val="0"/>
          <w:divBdr>
            <w:top w:val="none" w:sz="0" w:space="0" w:color="auto"/>
            <w:left w:val="none" w:sz="0" w:space="0" w:color="auto"/>
            <w:bottom w:val="none" w:sz="0" w:space="0" w:color="auto"/>
            <w:right w:val="none" w:sz="0" w:space="0" w:color="auto"/>
          </w:divBdr>
          <w:divsChild>
            <w:div w:id="951009291">
              <w:marLeft w:val="0"/>
              <w:marRight w:val="0"/>
              <w:marTop w:val="0"/>
              <w:marBottom w:val="0"/>
              <w:divBdr>
                <w:top w:val="none" w:sz="0" w:space="0" w:color="auto"/>
                <w:left w:val="none" w:sz="0" w:space="0" w:color="auto"/>
                <w:bottom w:val="none" w:sz="0" w:space="0" w:color="auto"/>
                <w:right w:val="none" w:sz="0" w:space="0" w:color="auto"/>
              </w:divBdr>
            </w:div>
          </w:divsChild>
        </w:div>
        <w:div w:id="1348680129">
          <w:marLeft w:val="0"/>
          <w:marRight w:val="0"/>
          <w:marTop w:val="0"/>
          <w:marBottom w:val="0"/>
          <w:divBdr>
            <w:top w:val="none" w:sz="0" w:space="0" w:color="auto"/>
            <w:left w:val="none" w:sz="0" w:space="0" w:color="auto"/>
            <w:bottom w:val="none" w:sz="0" w:space="0" w:color="auto"/>
            <w:right w:val="none" w:sz="0" w:space="0" w:color="auto"/>
          </w:divBdr>
          <w:divsChild>
            <w:div w:id="1769036705">
              <w:marLeft w:val="0"/>
              <w:marRight w:val="0"/>
              <w:marTop w:val="0"/>
              <w:marBottom w:val="0"/>
              <w:divBdr>
                <w:top w:val="none" w:sz="0" w:space="0" w:color="auto"/>
                <w:left w:val="none" w:sz="0" w:space="0" w:color="auto"/>
                <w:bottom w:val="none" w:sz="0" w:space="0" w:color="auto"/>
                <w:right w:val="none" w:sz="0" w:space="0" w:color="auto"/>
              </w:divBdr>
            </w:div>
          </w:divsChild>
        </w:div>
        <w:div w:id="764958105">
          <w:marLeft w:val="0"/>
          <w:marRight w:val="0"/>
          <w:marTop w:val="0"/>
          <w:marBottom w:val="0"/>
          <w:divBdr>
            <w:top w:val="none" w:sz="0" w:space="0" w:color="auto"/>
            <w:left w:val="none" w:sz="0" w:space="0" w:color="auto"/>
            <w:bottom w:val="none" w:sz="0" w:space="0" w:color="auto"/>
            <w:right w:val="none" w:sz="0" w:space="0" w:color="auto"/>
          </w:divBdr>
        </w:div>
        <w:div w:id="22050212">
          <w:marLeft w:val="0"/>
          <w:marRight w:val="0"/>
          <w:marTop w:val="0"/>
          <w:marBottom w:val="0"/>
          <w:divBdr>
            <w:top w:val="none" w:sz="0" w:space="0" w:color="auto"/>
            <w:left w:val="none" w:sz="0" w:space="0" w:color="auto"/>
            <w:bottom w:val="none" w:sz="0" w:space="0" w:color="auto"/>
            <w:right w:val="none" w:sz="0" w:space="0" w:color="auto"/>
          </w:divBdr>
          <w:divsChild>
            <w:div w:id="2104109629">
              <w:marLeft w:val="0"/>
              <w:marRight w:val="0"/>
              <w:marTop w:val="0"/>
              <w:marBottom w:val="0"/>
              <w:divBdr>
                <w:top w:val="none" w:sz="0" w:space="0" w:color="auto"/>
                <w:left w:val="none" w:sz="0" w:space="0" w:color="auto"/>
                <w:bottom w:val="none" w:sz="0" w:space="0" w:color="auto"/>
                <w:right w:val="none" w:sz="0" w:space="0" w:color="auto"/>
              </w:divBdr>
            </w:div>
          </w:divsChild>
        </w:div>
        <w:div w:id="936257812">
          <w:marLeft w:val="0"/>
          <w:marRight w:val="0"/>
          <w:marTop w:val="0"/>
          <w:marBottom w:val="0"/>
          <w:divBdr>
            <w:top w:val="none" w:sz="0" w:space="0" w:color="auto"/>
            <w:left w:val="none" w:sz="0" w:space="0" w:color="auto"/>
            <w:bottom w:val="none" w:sz="0" w:space="0" w:color="auto"/>
            <w:right w:val="none" w:sz="0" w:space="0" w:color="auto"/>
          </w:divBdr>
        </w:div>
        <w:div w:id="21909182">
          <w:marLeft w:val="0"/>
          <w:marRight w:val="0"/>
          <w:marTop w:val="0"/>
          <w:marBottom w:val="0"/>
          <w:divBdr>
            <w:top w:val="none" w:sz="0" w:space="0" w:color="auto"/>
            <w:left w:val="none" w:sz="0" w:space="0" w:color="auto"/>
            <w:bottom w:val="none" w:sz="0" w:space="0" w:color="auto"/>
            <w:right w:val="none" w:sz="0" w:space="0" w:color="auto"/>
          </w:divBdr>
        </w:div>
        <w:div w:id="307632237">
          <w:marLeft w:val="0"/>
          <w:marRight w:val="0"/>
          <w:marTop w:val="0"/>
          <w:marBottom w:val="0"/>
          <w:divBdr>
            <w:top w:val="none" w:sz="0" w:space="0" w:color="auto"/>
            <w:left w:val="none" w:sz="0" w:space="0" w:color="auto"/>
            <w:bottom w:val="none" w:sz="0" w:space="0" w:color="auto"/>
            <w:right w:val="none" w:sz="0" w:space="0" w:color="auto"/>
          </w:divBdr>
          <w:divsChild>
            <w:div w:id="2088842471">
              <w:marLeft w:val="0"/>
              <w:marRight w:val="0"/>
              <w:marTop w:val="0"/>
              <w:marBottom w:val="0"/>
              <w:divBdr>
                <w:top w:val="none" w:sz="0" w:space="0" w:color="auto"/>
                <w:left w:val="none" w:sz="0" w:space="0" w:color="auto"/>
                <w:bottom w:val="none" w:sz="0" w:space="0" w:color="auto"/>
                <w:right w:val="none" w:sz="0" w:space="0" w:color="auto"/>
              </w:divBdr>
            </w:div>
          </w:divsChild>
        </w:div>
        <w:div w:id="1456674212">
          <w:marLeft w:val="0"/>
          <w:marRight w:val="0"/>
          <w:marTop w:val="0"/>
          <w:marBottom w:val="0"/>
          <w:divBdr>
            <w:top w:val="none" w:sz="0" w:space="0" w:color="auto"/>
            <w:left w:val="none" w:sz="0" w:space="0" w:color="auto"/>
            <w:bottom w:val="none" w:sz="0" w:space="0" w:color="auto"/>
            <w:right w:val="none" w:sz="0" w:space="0" w:color="auto"/>
          </w:divBdr>
          <w:divsChild>
            <w:div w:id="711731936">
              <w:marLeft w:val="0"/>
              <w:marRight w:val="0"/>
              <w:marTop w:val="0"/>
              <w:marBottom w:val="0"/>
              <w:divBdr>
                <w:top w:val="none" w:sz="0" w:space="0" w:color="auto"/>
                <w:left w:val="none" w:sz="0" w:space="0" w:color="auto"/>
                <w:bottom w:val="none" w:sz="0" w:space="0" w:color="auto"/>
                <w:right w:val="none" w:sz="0" w:space="0" w:color="auto"/>
              </w:divBdr>
            </w:div>
          </w:divsChild>
        </w:div>
        <w:div w:id="1146705917">
          <w:marLeft w:val="0"/>
          <w:marRight w:val="0"/>
          <w:marTop w:val="0"/>
          <w:marBottom w:val="0"/>
          <w:divBdr>
            <w:top w:val="none" w:sz="0" w:space="0" w:color="auto"/>
            <w:left w:val="none" w:sz="0" w:space="0" w:color="auto"/>
            <w:bottom w:val="none" w:sz="0" w:space="0" w:color="auto"/>
            <w:right w:val="none" w:sz="0" w:space="0" w:color="auto"/>
          </w:divBdr>
          <w:divsChild>
            <w:div w:id="840199214">
              <w:marLeft w:val="0"/>
              <w:marRight w:val="0"/>
              <w:marTop w:val="0"/>
              <w:marBottom w:val="0"/>
              <w:divBdr>
                <w:top w:val="none" w:sz="0" w:space="0" w:color="auto"/>
                <w:left w:val="none" w:sz="0" w:space="0" w:color="auto"/>
                <w:bottom w:val="none" w:sz="0" w:space="0" w:color="auto"/>
                <w:right w:val="none" w:sz="0" w:space="0" w:color="auto"/>
              </w:divBdr>
            </w:div>
          </w:divsChild>
        </w:div>
        <w:div w:id="921449952">
          <w:marLeft w:val="0"/>
          <w:marRight w:val="0"/>
          <w:marTop w:val="0"/>
          <w:marBottom w:val="0"/>
          <w:divBdr>
            <w:top w:val="none" w:sz="0" w:space="0" w:color="auto"/>
            <w:left w:val="none" w:sz="0" w:space="0" w:color="auto"/>
            <w:bottom w:val="none" w:sz="0" w:space="0" w:color="auto"/>
            <w:right w:val="none" w:sz="0" w:space="0" w:color="auto"/>
          </w:divBdr>
        </w:div>
        <w:div w:id="1805850292">
          <w:marLeft w:val="0"/>
          <w:marRight w:val="0"/>
          <w:marTop w:val="0"/>
          <w:marBottom w:val="0"/>
          <w:divBdr>
            <w:top w:val="none" w:sz="0" w:space="0" w:color="auto"/>
            <w:left w:val="none" w:sz="0" w:space="0" w:color="auto"/>
            <w:bottom w:val="none" w:sz="0" w:space="0" w:color="auto"/>
            <w:right w:val="none" w:sz="0" w:space="0" w:color="auto"/>
          </w:divBdr>
          <w:divsChild>
            <w:div w:id="1796295221">
              <w:marLeft w:val="0"/>
              <w:marRight w:val="0"/>
              <w:marTop w:val="0"/>
              <w:marBottom w:val="0"/>
              <w:divBdr>
                <w:top w:val="none" w:sz="0" w:space="0" w:color="auto"/>
                <w:left w:val="none" w:sz="0" w:space="0" w:color="auto"/>
                <w:bottom w:val="none" w:sz="0" w:space="0" w:color="auto"/>
                <w:right w:val="none" w:sz="0" w:space="0" w:color="auto"/>
              </w:divBdr>
            </w:div>
          </w:divsChild>
        </w:div>
        <w:div w:id="202210929">
          <w:marLeft w:val="0"/>
          <w:marRight w:val="0"/>
          <w:marTop w:val="0"/>
          <w:marBottom w:val="0"/>
          <w:divBdr>
            <w:top w:val="none" w:sz="0" w:space="0" w:color="auto"/>
            <w:left w:val="none" w:sz="0" w:space="0" w:color="auto"/>
            <w:bottom w:val="none" w:sz="0" w:space="0" w:color="auto"/>
            <w:right w:val="none" w:sz="0" w:space="0" w:color="auto"/>
          </w:divBdr>
        </w:div>
        <w:div w:id="1608540362">
          <w:marLeft w:val="0"/>
          <w:marRight w:val="0"/>
          <w:marTop w:val="0"/>
          <w:marBottom w:val="0"/>
          <w:divBdr>
            <w:top w:val="none" w:sz="0" w:space="0" w:color="auto"/>
            <w:left w:val="none" w:sz="0" w:space="0" w:color="auto"/>
            <w:bottom w:val="none" w:sz="0" w:space="0" w:color="auto"/>
            <w:right w:val="none" w:sz="0" w:space="0" w:color="auto"/>
          </w:divBdr>
        </w:div>
      </w:divsChild>
    </w:div>
    <w:div w:id="817766570">
      <w:bodyDiv w:val="1"/>
      <w:marLeft w:val="0"/>
      <w:marRight w:val="0"/>
      <w:marTop w:val="0"/>
      <w:marBottom w:val="0"/>
      <w:divBdr>
        <w:top w:val="none" w:sz="0" w:space="0" w:color="auto"/>
        <w:left w:val="none" w:sz="0" w:space="0" w:color="auto"/>
        <w:bottom w:val="none" w:sz="0" w:space="0" w:color="auto"/>
        <w:right w:val="none" w:sz="0" w:space="0" w:color="auto"/>
      </w:divBdr>
    </w:div>
    <w:div w:id="1215697621">
      <w:bodyDiv w:val="1"/>
      <w:marLeft w:val="0"/>
      <w:marRight w:val="0"/>
      <w:marTop w:val="0"/>
      <w:marBottom w:val="0"/>
      <w:divBdr>
        <w:top w:val="none" w:sz="0" w:space="0" w:color="auto"/>
        <w:left w:val="none" w:sz="0" w:space="0" w:color="auto"/>
        <w:bottom w:val="none" w:sz="0" w:space="0" w:color="auto"/>
        <w:right w:val="none" w:sz="0" w:space="0" w:color="auto"/>
      </w:divBdr>
    </w:div>
    <w:div w:id="1268468278">
      <w:bodyDiv w:val="1"/>
      <w:marLeft w:val="0"/>
      <w:marRight w:val="0"/>
      <w:marTop w:val="0"/>
      <w:marBottom w:val="0"/>
      <w:divBdr>
        <w:top w:val="none" w:sz="0" w:space="0" w:color="auto"/>
        <w:left w:val="none" w:sz="0" w:space="0" w:color="auto"/>
        <w:bottom w:val="none" w:sz="0" w:space="0" w:color="auto"/>
        <w:right w:val="none" w:sz="0" w:space="0" w:color="auto"/>
      </w:divBdr>
    </w:div>
    <w:div w:id="1354838396">
      <w:bodyDiv w:val="1"/>
      <w:marLeft w:val="0"/>
      <w:marRight w:val="0"/>
      <w:marTop w:val="0"/>
      <w:marBottom w:val="0"/>
      <w:divBdr>
        <w:top w:val="none" w:sz="0" w:space="0" w:color="auto"/>
        <w:left w:val="none" w:sz="0" w:space="0" w:color="auto"/>
        <w:bottom w:val="none" w:sz="0" w:space="0" w:color="auto"/>
        <w:right w:val="none" w:sz="0" w:space="0" w:color="auto"/>
      </w:divBdr>
    </w:div>
    <w:div w:id="20920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github.com/jswesner/liebl_bird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8</cp:revision>
  <dcterms:created xsi:type="dcterms:W3CDTF">2019-12-24T02:37:00Z</dcterms:created>
  <dcterms:modified xsi:type="dcterms:W3CDTF">2020-02-19T21:58:00Z</dcterms:modified>
</cp:coreProperties>
</file>