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BB1972" w14:textId="290D0109" w:rsidR="003225E8" w:rsidRDefault="005A63D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Analysis</w:t>
      </w:r>
    </w:p>
    <w:p w14:paraId="72ED907B" w14:textId="139C947E" w:rsidR="005A63DE" w:rsidRDefault="005A63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measured the methylation response to age and dispersal using a Bayesian generalized linear mixed model. The likelihood was beta with a logit link because the data were proportions. The response variable was </w:t>
      </w:r>
      <w:r w:rsidR="00164FE2">
        <w:rPr>
          <w:rFonts w:ascii="Times New Roman" w:hAnsi="Times New Roman" w:cs="Times New Roman"/>
          <w:sz w:val="24"/>
          <w:szCs w:val="24"/>
        </w:rPr>
        <w:t>proportion</w:t>
      </w:r>
      <w:r>
        <w:rPr>
          <w:rFonts w:ascii="Times New Roman" w:hAnsi="Times New Roman" w:cs="Times New Roman"/>
          <w:sz w:val="24"/>
          <w:szCs w:val="24"/>
        </w:rPr>
        <w:t xml:space="preserve"> methylation, the predictor variables were age, dispersal, and their interaction, and bird id was a random intercept. </w:t>
      </w:r>
    </w:p>
    <w:p w14:paraId="072D541C" w14:textId="2B3A0DEE" w:rsidR="005A63DE" w:rsidRDefault="005A63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We fit the model using the </w:t>
      </w:r>
      <w:r>
        <w:rPr>
          <w:rFonts w:ascii="Times New Roman" w:hAnsi="Times New Roman" w:cs="Times New Roman"/>
          <w:i/>
          <w:sz w:val="24"/>
          <w:szCs w:val="24"/>
        </w:rPr>
        <w:t>brms</w:t>
      </w:r>
      <w:r>
        <w:rPr>
          <w:rFonts w:ascii="Times New Roman" w:hAnsi="Times New Roman" w:cs="Times New Roman"/>
          <w:sz w:val="24"/>
          <w:szCs w:val="24"/>
        </w:rPr>
        <w:t xml:space="preserve"> package (</w:t>
      </w:r>
      <w:proofErr w:type="spellStart"/>
      <w:r w:rsidRPr="00227204">
        <w:rPr>
          <w:rFonts w:ascii="Times New Roman" w:hAnsi="Times New Roman" w:cs="Times New Roman"/>
          <w:sz w:val="24"/>
          <w:szCs w:val="24"/>
        </w:rPr>
        <w:t>Bürkner</w:t>
      </w:r>
      <w:proofErr w:type="spellEnd"/>
      <w:r w:rsidRPr="00227204" w:rsidDel="00EB45A6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2018) via Hamiltonian Monte Carlo in </w:t>
      </w:r>
      <w:commentRangeStart w:id="0"/>
      <w:proofErr w:type="spellStart"/>
      <w:r>
        <w:rPr>
          <w:rFonts w:ascii="Times New Roman" w:hAnsi="Times New Roman" w:cs="Times New Roman"/>
          <w:i/>
          <w:sz w:val="24"/>
          <w:szCs w:val="24"/>
        </w:rPr>
        <w:t>rstan</w:t>
      </w:r>
      <w:commentRangeEnd w:id="0"/>
      <w:proofErr w:type="spellEnd"/>
      <w:r>
        <w:rPr>
          <w:rStyle w:val="CommentReference"/>
        </w:rPr>
        <w:commentReference w:id="0"/>
      </w:r>
      <w:r>
        <w:rPr>
          <w:rFonts w:ascii="Times New Roman" w:hAnsi="Times New Roman" w:cs="Times New Roman"/>
          <w:sz w:val="24"/>
          <w:szCs w:val="24"/>
        </w:rPr>
        <w:t xml:space="preserve"> (Stan Development Team 2019). We ran four chains of 2000 iterations each. The first 1000 iterations discarded as warmup in each chain. We used posterior predictive </w:t>
      </w:r>
      <w:commentRangeStart w:id="1"/>
      <w:r>
        <w:rPr>
          <w:rFonts w:ascii="Times New Roman" w:hAnsi="Times New Roman" w:cs="Times New Roman"/>
          <w:sz w:val="24"/>
          <w:szCs w:val="24"/>
        </w:rPr>
        <w:t>checks</w:t>
      </w:r>
      <w:commentRangeEnd w:id="1"/>
      <w:r>
        <w:rPr>
          <w:rStyle w:val="CommentReference"/>
        </w:rPr>
        <w:commentReference w:id="1"/>
      </w:r>
      <w:r>
        <w:rPr>
          <w:rFonts w:ascii="Times New Roman" w:hAnsi="Times New Roman" w:cs="Times New Roman"/>
          <w:sz w:val="24"/>
          <w:szCs w:val="24"/>
        </w:rPr>
        <w:t xml:space="preserve"> (Conn et al. 2018) to test model performance and checked chains for convergence by ensuring that r-hats were &lt; 1.1. All data and accompanying code</w:t>
      </w:r>
      <w:r w:rsidRPr="0080754D">
        <w:rPr>
          <w:rFonts w:ascii="Times New Roman" w:hAnsi="Times New Roman" w:cs="Times New Roman"/>
          <w:sz w:val="24"/>
          <w:szCs w:val="24"/>
        </w:rPr>
        <w:t xml:space="preserve"> are available at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7" w:history="1">
        <w:r w:rsidRPr="005A63DE">
          <w:rPr>
            <w:rStyle w:val="Hyperlink"/>
            <w:rFonts w:ascii="Times New Roman" w:hAnsi="Times New Roman" w:cs="Times New Roman"/>
            <w:sz w:val="24"/>
            <w:szCs w:val="24"/>
          </w:rPr>
          <w:t>https://github.com/jswesner/liebl_birds</w:t>
        </w:r>
      </w:hyperlink>
      <w:r>
        <w:rPr>
          <w:rFonts w:ascii="Times New Roman" w:hAnsi="Times New Roman" w:cs="Times New Roman"/>
          <w:sz w:val="24"/>
          <w:szCs w:val="24"/>
        </w:rPr>
        <w:t>.</w:t>
      </w:r>
    </w:p>
    <w:p w14:paraId="6D35234C" w14:textId="2A981186" w:rsidR="005A63DE" w:rsidRDefault="005A63DE">
      <w:pPr>
        <w:rPr>
          <w:rFonts w:ascii="Times New Roman" w:hAnsi="Times New Roman" w:cs="Times New Roman"/>
          <w:sz w:val="24"/>
          <w:szCs w:val="24"/>
        </w:rPr>
      </w:pPr>
    </w:p>
    <w:p w14:paraId="26E4FF59" w14:textId="0104A3C6" w:rsidR="005A63DE" w:rsidRDefault="005A63D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Results</w:t>
      </w:r>
    </w:p>
    <w:p w14:paraId="2A0B9EE0" w14:textId="7FD648D1" w:rsidR="005A63DE" w:rsidRPr="00E03CBD" w:rsidRDefault="00E03C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 and N were had similar methylation in the hatchling stage. The proportion of methylated genes averaged 0.</w:t>
      </w:r>
      <w:r w:rsidR="00164FE2">
        <w:rPr>
          <w:rFonts w:ascii="Times New Roman" w:hAnsi="Times New Roman" w:cs="Times New Roman"/>
          <w:sz w:val="24"/>
          <w:szCs w:val="24"/>
        </w:rPr>
        <w:t xml:space="preserve">8 </w:t>
      </w:r>
      <w:r>
        <w:rPr>
          <w:rFonts w:ascii="Times New Roman" w:hAnsi="Times New Roman" w:cs="Times New Roman"/>
          <w:sz w:val="24"/>
          <w:szCs w:val="24"/>
        </w:rPr>
        <w:t>+/- 0.</w:t>
      </w:r>
      <w:r w:rsidR="00164FE2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3 (mean and sd of the posterior distribution) in D while N averaged 0.</w:t>
      </w:r>
      <w:r w:rsidR="00164FE2">
        <w:rPr>
          <w:rFonts w:ascii="Times New Roman" w:hAnsi="Times New Roman" w:cs="Times New Roman"/>
          <w:sz w:val="24"/>
          <w:szCs w:val="24"/>
        </w:rPr>
        <w:t>81</w:t>
      </w:r>
      <w:r>
        <w:rPr>
          <w:rFonts w:ascii="Times New Roman" w:hAnsi="Times New Roman" w:cs="Times New Roman"/>
          <w:sz w:val="24"/>
          <w:szCs w:val="24"/>
        </w:rPr>
        <w:t xml:space="preserve"> +/- 0.</w:t>
      </w:r>
      <w:r w:rsidR="00164FE2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3 (Table X). In contrast, at the fledgling stage D averaged 0.</w:t>
      </w:r>
      <w:r w:rsidR="00164FE2">
        <w:rPr>
          <w:rFonts w:ascii="Times New Roman" w:hAnsi="Times New Roman" w:cs="Times New Roman"/>
          <w:sz w:val="24"/>
          <w:szCs w:val="24"/>
        </w:rPr>
        <w:t>76</w:t>
      </w:r>
      <w:r>
        <w:rPr>
          <w:rFonts w:ascii="Times New Roman" w:hAnsi="Times New Roman" w:cs="Times New Roman"/>
          <w:sz w:val="24"/>
          <w:szCs w:val="24"/>
        </w:rPr>
        <w:t xml:space="preserve"> +/- 0.</w:t>
      </w:r>
      <w:r w:rsidR="00164FE2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3 compared to 0.</w:t>
      </w:r>
      <w:r w:rsidR="00164FE2">
        <w:rPr>
          <w:rFonts w:ascii="Times New Roman" w:hAnsi="Times New Roman" w:cs="Times New Roman"/>
          <w:sz w:val="24"/>
          <w:szCs w:val="24"/>
        </w:rPr>
        <w:t>84</w:t>
      </w:r>
      <w:r>
        <w:rPr>
          <w:rFonts w:ascii="Times New Roman" w:hAnsi="Times New Roman" w:cs="Times New Roman"/>
          <w:sz w:val="24"/>
          <w:szCs w:val="24"/>
        </w:rPr>
        <w:t xml:space="preserve"> +/- 0.</w:t>
      </w:r>
      <w:r w:rsidR="00164FE2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3 for N (Figure X). This corresponded to a mean difference of 0.08 +/- 0.04 (95% </w:t>
      </w:r>
      <w:proofErr w:type="spellStart"/>
      <w:r>
        <w:rPr>
          <w:rFonts w:ascii="Times New Roman" w:hAnsi="Times New Roman" w:cs="Times New Roman"/>
          <w:sz w:val="24"/>
          <w:szCs w:val="24"/>
        </w:rPr>
        <w:t>CrI</w:t>
      </w:r>
      <w:proofErr w:type="spellEnd"/>
      <w:r>
        <w:rPr>
          <w:rFonts w:ascii="Times New Roman" w:hAnsi="Times New Roman" w:cs="Times New Roman"/>
          <w:sz w:val="24"/>
          <w:szCs w:val="24"/>
        </w:rPr>
        <w:t>: -0.0</w:t>
      </w:r>
      <w:r w:rsidR="00164FE2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to 0.17), with a 97% probability that </w:t>
      </w:r>
      <w:r w:rsidR="00164FE2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had higher methylation than </w:t>
      </w:r>
      <w:r w:rsidR="00164FE2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. By the adult stage, this difference disappeared, with D averaging 0.</w:t>
      </w:r>
      <w:r w:rsidR="00164FE2">
        <w:rPr>
          <w:rFonts w:ascii="Times New Roman" w:hAnsi="Times New Roman" w:cs="Times New Roman"/>
          <w:sz w:val="24"/>
          <w:szCs w:val="24"/>
        </w:rPr>
        <w:t>77</w:t>
      </w:r>
      <w:r>
        <w:rPr>
          <w:rFonts w:ascii="Times New Roman" w:hAnsi="Times New Roman" w:cs="Times New Roman"/>
          <w:sz w:val="24"/>
          <w:szCs w:val="24"/>
        </w:rPr>
        <w:t xml:space="preserve"> +/- 0.03 compared to </w:t>
      </w:r>
      <w:r w:rsidR="00164FE2">
        <w:rPr>
          <w:rFonts w:ascii="Times New Roman" w:hAnsi="Times New Roman" w:cs="Times New Roman"/>
          <w:sz w:val="24"/>
          <w:szCs w:val="24"/>
        </w:rPr>
        <w:t>0.</w:t>
      </w:r>
      <w:bookmarkStart w:id="2" w:name="_GoBack"/>
      <w:bookmarkEnd w:id="2"/>
      <w:r w:rsidR="00164FE2">
        <w:rPr>
          <w:rFonts w:ascii="Times New Roman" w:hAnsi="Times New Roman" w:cs="Times New Roman"/>
          <w:sz w:val="24"/>
          <w:szCs w:val="24"/>
        </w:rPr>
        <w:t>74</w:t>
      </w:r>
      <w:r>
        <w:rPr>
          <w:rFonts w:ascii="Times New Roman" w:hAnsi="Times New Roman" w:cs="Times New Roman"/>
          <w:sz w:val="24"/>
          <w:szCs w:val="24"/>
        </w:rPr>
        <w:t xml:space="preserve"> +/- 0.03 for N.  </w:t>
      </w:r>
    </w:p>
    <w:p w14:paraId="53A535AD" w14:textId="04090EB2" w:rsidR="005A63DE" w:rsidRDefault="005A63DE">
      <w:pPr>
        <w:rPr>
          <w:rFonts w:ascii="Times New Roman" w:hAnsi="Times New Roman" w:cs="Times New Roman"/>
          <w:b/>
          <w:sz w:val="24"/>
          <w:szCs w:val="24"/>
        </w:rPr>
      </w:pPr>
    </w:p>
    <w:p w14:paraId="6A85808D" w14:textId="1EA1A2C7" w:rsidR="005A63DE" w:rsidRDefault="005A63DE">
      <w:pPr>
        <w:rPr>
          <w:rFonts w:ascii="Times New Roman" w:hAnsi="Times New Roman" w:cs="Times New Roman"/>
          <w:b/>
          <w:sz w:val="24"/>
          <w:szCs w:val="24"/>
        </w:rPr>
      </w:pPr>
    </w:p>
    <w:p w14:paraId="617E4F75" w14:textId="77777777" w:rsidR="005A63DE" w:rsidRPr="005A63DE" w:rsidRDefault="005A63D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6121" w:type="dxa"/>
        <w:tblLook w:val="04A0" w:firstRow="1" w:lastRow="0" w:firstColumn="1" w:lastColumn="0" w:noHBand="0" w:noVBand="1"/>
      </w:tblPr>
      <w:tblGrid>
        <w:gridCol w:w="625"/>
        <w:gridCol w:w="1603"/>
        <w:gridCol w:w="962"/>
        <w:gridCol w:w="754"/>
        <w:gridCol w:w="1033"/>
        <w:gridCol w:w="1144"/>
      </w:tblGrid>
      <w:tr w:rsidR="005A63DE" w:rsidRPr="005A63DE" w14:paraId="379E6694" w14:textId="77777777" w:rsidTr="005A63DE">
        <w:trPr>
          <w:trHeight w:val="285"/>
        </w:trPr>
        <w:tc>
          <w:tcPr>
            <w:tcW w:w="612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BB259A" w14:textId="77777777" w:rsidR="005A63DE" w:rsidRPr="005A63DE" w:rsidRDefault="005A63DE" w:rsidP="005A63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A63DE">
              <w:rPr>
                <w:rFonts w:ascii="Calibri" w:eastAsia="Times New Roman" w:hAnsi="Calibri" w:cs="Calibri"/>
                <w:color w:val="000000"/>
              </w:rPr>
              <w:lastRenderedPageBreak/>
              <w:t xml:space="preserve">Table X. Summaries of the posterior distribution of results from the generalized linear mixed model. </w:t>
            </w:r>
          </w:p>
        </w:tc>
      </w:tr>
      <w:tr w:rsidR="005A63DE" w:rsidRPr="005A63DE" w14:paraId="5D0C3AE5" w14:textId="77777777" w:rsidTr="005A63DE">
        <w:trPr>
          <w:trHeight w:val="285"/>
        </w:trPr>
        <w:tc>
          <w:tcPr>
            <w:tcW w:w="6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D2093E" w14:textId="77777777" w:rsidR="005A63DE" w:rsidRPr="005A63DE" w:rsidRDefault="005A63DE" w:rsidP="005A6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A63DE">
              <w:rPr>
                <w:rFonts w:ascii="Calibri" w:eastAsia="Times New Roman" w:hAnsi="Calibri" w:cs="Calibri"/>
                <w:color w:val="000000"/>
              </w:rPr>
              <w:t>age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EB96251" w14:textId="77777777" w:rsidR="005A63DE" w:rsidRPr="005A63DE" w:rsidRDefault="005A63DE" w:rsidP="005A6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A63DE">
              <w:rPr>
                <w:rFonts w:ascii="Calibri" w:eastAsia="Times New Roman" w:hAnsi="Calibri" w:cs="Calibri"/>
                <w:color w:val="000000"/>
              </w:rPr>
              <w:t>dispersed</w:t>
            </w:r>
          </w:p>
        </w:tc>
        <w:tc>
          <w:tcPr>
            <w:tcW w:w="9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FDB29E" w14:textId="77777777" w:rsidR="005A63DE" w:rsidRPr="005A63DE" w:rsidRDefault="005A63DE" w:rsidP="005A6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A63DE">
              <w:rPr>
                <w:rFonts w:ascii="Calibri" w:eastAsia="Times New Roman" w:hAnsi="Calibri" w:cs="Calibri"/>
                <w:color w:val="000000"/>
              </w:rPr>
              <w:t>mean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BA0E2D" w14:textId="77777777" w:rsidR="005A63DE" w:rsidRPr="005A63DE" w:rsidRDefault="005A63DE" w:rsidP="005A6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A63DE">
              <w:rPr>
                <w:rFonts w:ascii="Calibri" w:eastAsia="Times New Roman" w:hAnsi="Calibri" w:cs="Calibri"/>
                <w:color w:val="000000"/>
              </w:rPr>
              <w:t>sd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BE7F5C" w14:textId="77777777" w:rsidR="005A63DE" w:rsidRPr="005A63DE" w:rsidRDefault="005A63DE" w:rsidP="005A6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A63DE">
              <w:rPr>
                <w:rFonts w:ascii="Calibri" w:eastAsia="Times New Roman" w:hAnsi="Calibri" w:cs="Calibri"/>
                <w:color w:val="000000"/>
              </w:rPr>
              <w:t>low95</w:t>
            </w: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28A9F0" w14:textId="77777777" w:rsidR="005A63DE" w:rsidRPr="005A63DE" w:rsidRDefault="005A63DE" w:rsidP="005A6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A63DE">
              <w:rPr>
                <w:rFonts w:ascii="Calibri" w:eastAsia="Times New Roman" w:hAnsi="Calibri" w:cs="Calibri"/>
                <w:color w:val="000000"/>
              </w:rPr>
              <w:t>high95</w:t>
            </w:r>
          </w:p>
        </w:tc>
      </w:tr>
      <w:tr w:rsidR="00164FE2" w:rsidRPr="005A63DE" w14:paraId="7217ACFB" w14:textId="77777777" w:rsidTr="005A63DE">
        <w:trPr>
          <w:trHeight w:val="285"/>
        </w:trPr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C53CF" w14:textId="7273E08B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</w:t>
            </w:r>
          </w:p>
        </w:tc>
        <w:tc>
          <w:tcPr>
            <w:tcW w:w="16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80643" w14:textId="05B7839B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C51EEA" w14:textId="01780D1A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</w:t>
            </w:r>
          </w:p>
        </w:tc>
        <w:tc>
          <w:tcPr>
            <w:tcW w:w="7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3FEA66" w14:textId="627A5E37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0.03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01A67" w14:textId="63487E74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0.73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1C8F9" w14:textId="6F08B306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0.85</w:t>
            </w:r>
          </w:p>
        </w:tc>
      </w:tr>
      <w:tr w:rsidR="00164FE2" w:rsidRPr="005A63DE" w14:paraId="5D4B7DEF" w14:textId="77777777" w:rsidTr="005A63DE">
        <w:trPr>
          <w:trHeight w:val="285"/>
        </w:trPr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3FFB0" w14:textId="22A44441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</w:t>
            </w:r>
          </w:p>
        </w:tc>
        <w:tc>
          <w:tcPr>
            <w:tcW w:w="16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4C8FE" w14:textId="7C0556B5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FB21C" w14:textId="6483DA69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0.81</w:t>
            </w:r>
          </w:p>
        </w:tc>
        <w:tc>
          <w:tcPr>
            <w:tcW w:w="7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09CFD" w14:textId="20EDA963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0.03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34DF4" w14:textId="745CD97E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0.75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284C0" w14:textId="7F9EF9B4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0.87</w:t>
            </w:r>
          </w:p>
        </w:tc>
      </w:tr>
      <w:tr w:rsidR="00164FE2" w:rsidRPr="005A63DE" w14:paraId="14C8FB39" w14:textId="77777777" w:rsidTr="005A63DE">
        <w:trPr>
          <w:trHeight w:val="285"/>
        </w:trPr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B1EE7" w14:textId="40AA2A84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</w:t>
            </w:r>
          </w:p>
        </w:tc>
        <w:tc>
          <w:tcPr>
            <w:tcW w:w="16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D5F07" w14:textId="082FEF73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38AF3" w14:textId="0B0CCC31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0.76</w:t>
            </w:r>
          </w:p>
        </w:tc>
        <w:tc>
          <w:tcPr>
            <w:tcW w:w="7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66C6A" w14:textId="3D9E4C7E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0.03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9D3B5" w14:textId="1EB35522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0.68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B9F3F" w14:textId="01510750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0.82</w:t>
            </w:r>
          </w:p>
        </w:tc>
      </w:tr>
      <w:tr w:rsidR="00164FE2" w:rsidRPr="005A63DE" w14:paraId="61CC8A65" w14:textId="77777777" w:rsidTr="005A63DE">
        <w:trPr>
          <w:trHeight w:val="285"/>
        </w:trPr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5A6A2F" w14:textId="2E56CD96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</w:t>
            </w:r>
          </w:p>
        </w:tc>
        <w:tc>
          <w:tcPr>
            <w:tcW w:w="16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87AEC" w14:textId="1F10E130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06E4D" w14:textId="2170DF39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0.84</w:t>
            </w:r>
          </w:p>
        </w:tc>
        <w:tc>
          <w:tcPr>
            <w:tcW w:w="7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44D27" w14:textId="1066D811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0.03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E08817" w14:textId="2CA86329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0.78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1B9AA" w14:textId="7C7B33BB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0.89</w:t>
            </w:r>
          </w:p>
        </w:tc>
      </w:tr>
      <w:tr w:rsidR="00164FE2" w:rsidRPr="005A63DE" w14:paraId="5B77A67B" w14:textId="77777777" w:rsidTr="005A63DE">
        <w:trPr>
          <w:trHeight w:val="285"/>
        </w:trPr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62426" w14:textId="4D31159E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16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5AF61" w14:textId="67F94C1D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25F388" w14:textId="63317870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0.83</w:t>
            </w:r>
          </w:p>
        </w:tc>
        <w:tc>
          <w:tcPr>
            <w:tcW w:w="7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C7356" w14:textId="4FD51FDD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0.03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1764C" w14:textId="738B1AC7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0.77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840318" w14:textId="25604C98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0.88</w:t>
            </w:r>
          </w:p>
        </w:tc>
      </w:tr>
      <w:tr w:rsidR="00164FE2" w:rsidRPr="005A63DE" w14:paraId="1A545375" w14:textId="77777777" w:rsidTr="005A63DE">
        <w:trPr>
          <w:trHeight w:val="285"/>
        </w:trPr>
        <w:tc>
          <w:tcPr>
            <w:tcW w:w="6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3A92B4" w14:textId="606B55FF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A1ACAF3" w14:textId="723FF6E1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</w:t>
            </w:r>
          </w:p>
        </w:tc>
        <w:tc>
          <w:tcPr>
            <w:tcW w:w="9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E891AA" w14:textId="6151CE7C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</w:t>
            </w:r>
          </w:p>
        </w:tc>
        <w:tc>
          <w:tcPr>
            <w:tcW w:w="7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28E1E0" w14:textId="2412BE0A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0.03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6E3447" w14:textId="77D6C12D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0.74</w:t>
            </w: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D862D5" w14:textId="7EC56E32" w:rsidR="00164FE2" w:rsidRPr="005A63DE" w:rsidRDefault="00164FE2" w:rsidP="00164F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0.86</w:t>
            </w:r>
          </w:p>
        </w:tc>
      </w:tr>
    </w:tbl>
    <w:p w14:paraId="16AAA186" w14:textId="3E65C689" w:rsidR="005A63DE" w:rsidRPr="005A63DE" w:rsidRDefault="005A63DE">
      <w:pPr>
        <w:rPr>
          <w:rFonts w:ascii="Times New Roman" w:hAnsi="Times New Roman" w:cs="Times New Roman"/>
          <w:b/>
          <w:sz w:val="24"/>
          <w:szCs w:val="24"/>
        </w:rPr>
      </w:pPr>
    </w:p>
    <w:sectPr w:rsidR="005A63DE" w:rsidRPr="005A63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Wesner, Jeff S" w:date="2019-12-12T09:32:00Z" w:initials="WJS">
    <w:p w14:paraId="3682765E" w14:textId="77777777" w:rsidR="005A63DE" w:rsidRDefault="005A63DE" w:rsidP="005A63DE">
      <w:pPr>
        <w:pStyle w:val="HTMLPreformatted"/>
        <w:shd w:val="clear" w:color="auto" w:fill="FFFFFF"/>
        <w:wordWrap w:val="0"/>
        <w:spacing w:line="200" w:lineRule="atLeast"/>
        <w:rPr>
          <w:rStyle w:val="gnkrckgcgsb"/>
          <w:rFonts w:ascii="Lucida Console" w:hAnsi="Lucida Console"/>
          <w:color w:val="404040"/>
          <w:bdr w:val="none" w:sz="0" w:space="0" w:color="auto" w:frame="1"/>
        </w:rPr>
      </w:pPr>
      <w:r>
        <w:rPr>
          <w:rStyle w:val="CommentReference"/>
        </w:rPr>
        <w:annotationRef/>
      </w:r>
      <w:r>
        <w:rPr>
          <w:rStyle w:val="gnkrckgcgsb"/>
          <w:rFonts w:ascii="Lucida Console" w:hAnsi="Lucida Console"/>
          <w:color w:val="404040"/>
          <w:bdr w:val="none" w:sz="0" w:space="0" w:color="auto" w:frame="1"/>
        </w:rPr>
        <w:t>Stan Development Team (2019). RStan: the R interface to Stan. R package version</w:t>
      </w:r>
    </w:p>
    <w:p w14:paraId="4603C61F" w14:textId="77777777" w:rsidR="005A63DE" w:rsidRDefault="005A63DE" w:rsidP="005A63DE">
      <w:pPr>
        <w:pStyle w:val="HTMLPreformatted"/>
        <w:shd w:val="clear" w:color="auto" w:fill="FFFFFF"/>
        <w:wordWrap w:val="0"/>
        <w:spacing w:line="200" w:lineRule="atLeast"/>
        <w:rPr>
          <w:rFonts w:ascii="Lucida Console" w:hAnsi="Lucida Console"/>
          <w:color w:val="404040"/>
        </w:rPr>
      </w:pPr>
      <w:r>
        <w:rPr>
          <w:rStyle w:val="gnkrckgcgsb"/>
          <w:rFonts w:ascii="Lucida Console" w:hAnsi="Lucida Console"/>
          <w:color w:val="404040"/>
          <w:bdr w:val="none" w:sz="0" w:space="0" w:color="auto" w:frame="1"/>
        </w:rPr>
        <w:t xml:space="preserve">  2.19.2. http://mc-stan.org/.</w:t>
      </w:r>
    </w:p>
    <w:p w14:paraId="19D4622A" w14:textId="77777777" w:rsidR="005A63DE" w:rsidRDefault="005A63DE" w:rsidP="005A63DE">
      <w:pPr>
        <w:pStyle w:val="CommentText"/>
      </w:pPr>
    </w:p>
  </w:comment>
  <w:comment w:id="1" w:author="Wesner, Jeff S" w:date="2019-12-12T09:40:00Z" w:initials="WJS">
    <w:p w14:paraId="03C6A301" w14:textId="77777777" w:rsidR="005A63DE" w:rsidRDefault="005A63DE" w:rsidP="005A63DE">
      <w:pPr>
        <w:pStyle w:val="CommentText"/>
      </w:pPr>
      <w:r>
        <w:rPr>
          <w:rStyle w:val="CommentReference"/>
        </w:rPr>
        <w:annotationRef/>
      </w:r>
      <w:r>
        <w:rPr>
          <w:rFonts w:ascii="Arial" w:hAnsi="Arial" w:cs="Arial"/>
          <w:color w:val="222222"/>
          <w:shd w:val="clear" w:color="auto" w:fill="FFFFFF"/>
        </w:rPr>
        <w:t>Conn, Paul B., Devin S. Johnson, Perry J. Williams, Sharon R. Melin, and Mevin B. Hooten. "A guide to Bayesian model checking for ecologists."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Ecological Monographs</w:t>
      </w:r>
      <w:r>
        <w:rPr>
          <w:rFonts w:ascii="Arial" w:hAnsi="Arial" w:cs="Arial"/>
          <w:color w:val="222222"/>
          <w:shd w:val="clear" w:color="auto" w:fill="FFFFFF"/>
        </w:rPr>
        <w:t> 88, no. 4 (2018): 526-542.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19D4622A" w15:done="0"/>
  <w15:commentEx w15:paraId="03C6A30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9D4622A" w16cid:durableId="219C879C"/>
  <w16cid:commentId w16cid:paraId="03C6A301" w16cid:durableId="219C899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Wesner, Jeff S">
    <w15:presenceInfo w15:providerId="AD" w15:userId="S::Jeff.Wesner@usd.edu::03cd2d55-ec98-46a5-894b-dc5c67f932a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3DE"/>
    <w:rsid w:val="000F03E2"/>
    <w:rsid w:val="00164FE2"/>
    <w:rsid w:val="002A4E06"/>
    <w:rsid w:val="005A63DE"/>
    <w:rsid w:val="00C01B5F"/>
    <w:rsid w:val="00E03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235E4"/>
  <w15:chartTrackingRefBased/>
  <w15:docId w15:val="{DDD1630F-3930-4B60-BEDF-C83A9E2E3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5A63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63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63DE"/>
    <w:rPr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3DE"/>
    <w:rPr>
      <w:rFonts w:ascii="Courier New" w:eastAsia="Times New Roman" w:hAnsi="Courier New" w:cs="Courier New"/>
      <w:sz w:val="20"/>
      <w:szCs w:val="20"/>
    </w:rPr>
  </w:style>
  <w:style w:type="character" w:customStyle="1" w:styleId="gnkrckgcgsb">
    <w:name w:val="gnkrckgcgsb"/>
    <w:basedOn w:val="DefaultParagraphFont"/>
    <w:rsid w:val="005A63DE"/>
  </w:style>
  <w:style w:type="character" w:styleId="Hyperlink">
    <w:name w:val="Hyperlink"/>
    <w:basedOn w:val="DefaultParagraphFont"/>
    <w:uiPriority w:val="99"/>
    <w:unhideWhenUsed/>
    <w:rsid w:val="005A6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3D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4F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4FE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1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9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8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28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8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67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29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9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1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30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50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9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06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70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64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64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0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54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15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1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6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2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2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0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92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7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21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35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68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95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5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25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6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70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1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44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85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1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jswesner/liebl_bird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Wesner, Jeff S</dc:creator>
  <cp:keywords/>
  <dc:description/>
  <cp:lastModifiedBy>Wesner, Jeff S</cp:lastModifiedBy>
  <cp:revision>2</cp:revision>
  <dcterms:created xsi:type="dcterms:W3CDTF">2019-12-24T02:37:00Z</dcterms:created>
  <dcterms:modified xsi:type="dcterms:W3CDTF">2020-02-18T23:19:00Z</dcterms:modified>
</cp:coreProperties>
</file>