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3B13AC" w14:textId="466A8EFC" w:rsidR="0062468E" w:rsidRDefault="002D64C9">
      <w:r>
        <w:t>Body Size Data Processing</w:t>
      </w:r>
    </w:p>
    <w:p w14:paraId="00FC4227" w14:textId="049C01FF" w:rsidR="00104D5D" w:rsidRDefault="00104D5D">
      <w:r>
        <w:t xml:space="preserve">NEON collects macroinvertebrate data via fixed-area samplers (e.g., Surber samples) and measures insect body sizes using XXXXX. In contrast, fish are collected using 3-pass removal electrofishing within stream reaches that vary in area across study sites. </w:t>
      </w:r>
      <w:r w:rsidR="00D95E19">
        <w:t>For each collection, the first 50 fish per taxon are measured for total length in mm</w:t>
      </w:r>
      <w:r>
        <w:t xml:space="preserve"> (</w:t>
      </w:r>
      <w:commentRangeStart w:id="0"/>
      <w:r>
        <w:t>Monahan et al. 2020</w:t>
      </w:r>
      <w:commentRangeEnd w:id="0"/>
      <w:r>
        <w:rPr>
          <w:rStyle w:val="CommentReference"/>
        </w:rPr>
        <w:commentReference w:id="0"/>
      </w:r>
      <w:r>
        <w:t>)</w:t>
      </w:r>
      <w:r w:rsidR="00D95E19">
        <w:t xml:space="preserve">. Thus, the fish data consist of two subsets of data, one for counts of the total number of </w:t>
      </w:r>
      <w:proofErr w:type="gramStart"/>
      <w:r w:rsidR="00D95E19">
        <w:t>fish</w:t>
      </w:r>
      <w:proofErr w:type="gramEnd"/>
      <w:r w:rsidR="00D95E19">
        <w:t xml:space="preserve"> per pass per reach, and another with the length of the first 50 fish caught per taxon per reach (but not per pass). To convert both types of samples into a single format containing abundance (per square meter) of each dry mass, whether macroinvertebrate or fish, multiple data steps were required as described below.  </w:t>
      </w:r>
    </w:p>
    <w:p w14:paraId="78F03206" w14:textId="1B94EBF1" w:rsidR="002D64C9" w:rsidRDefault="00104D5D">
      <w:pPr>
        <w:rPr>
          <w:i/>
        </w:rPr>
      </w:pPr>
      <w:r>
        <w:rPr>
          <w:i/>
        </w:rPr>
        <w:t>Macroinvertebrates</w:t>
      </w:r>
    </w:p>
    <w:p w14:paraId="3B2C4096" w14:textId="049351D0" w:rsidR="00104D5D" w:rsidRDefault="00104D5D">
      <w:r>
        <w:rPr>
          <w:i/>
        </w:rPr>
        <w:t>Fish</w:t>
      </w:r>
    </w:p>
    <w:p w14:paraId="1067A2E0" w14:textId="4ED53F43" w:rsidR="00AE2DDB" w:rsidRDefault="00181A3C" w:rsidP="00181A3C">
      <w:pPr>
        <w:rPr>
          <w:bCs/>
        </w:rPr>
      </w:pPr>
      <w:r>
        <w:t xml:space="preserve">We obtained </w:t>
      </w:r>
      <w:r w:rsidR="00E56695">
        <w:t xml:space="preserve">measurements of individual </w:t>
      </w:r>
      <w:r>
        <w:t>fish total lengths</w:t>
      </w:r>
      <w:r w:rsidR="0054265F">
        <w:t xml:space="preserve"> (mm)</w:t>
      </w:r>
      <w:r>
        <w:t xml:space="preserve"> from the </w:t>
      </w:r>
      <w:proofErr w:type="spellStart"/>
      <w:r>
        <w:rPr>
          <w:i/>
        </w:rPr>
        <w:t>fsh_perFish</w:t>
      </w:r>
      <w:proofErr w:type="spellEnd"/>
      <w:r>
        <w:t xml:space="preserve"> table in data </w:t>
      </w:r>
      <w:r w:rsidRPr="00181A3C">
        <w:t xml:space="preserve">product </w:t>
      </w:r>
      <w:r w:rsidRPr="00181A3C">
        <w:rPr>
          <w:bCs/>
        </w:rPr>
        <w:t>DP1.20107.001</w:t>
      </w:r>
      <w:r w:rsidR="00E56695">
        <w:rPr>
          <w:bCs/>
        </w:rPr>
        <w:t xml:space="preserve"> (</w:t>
      </w:r>
      <w:commentRangeStart w:id="1"/>
      <w:r w:rsidR="00E56695">
        <w:rPr>
          <w:bCs/>
        </w:rPr>
        <w:t>NEON 2022)</w:t>
      </w:r>
      <w:commentRangeEnd w:id="1"/>
      <w:r w:rsidR="00E56695">
        <w:rPr>
          <w:rStyle w:val="CommentReference"/>
        </w:rPr>
        <w:commentReference w:id="1"/>
      </w:r>
      <w:r w:rsidR="00E56695">
        <w:rPr>
          <w:bCs/>
        </w:rPr>
        <w:t xml:space="preserve">. </w:t>
      </w:r>
      <w:r w:rsidR="0054265F">
        <w:rPr>
          <w:bCs/>
        </w:rPr>
        <w:t>For each collection event (i.e., collection dat</w:t>
      </w:r>
      <w:r w:rsidR="00E016D9">
        <w:rPr>
          <w:bCs/>
        </w:rPr>
        <w:t>e, reach, and site</w:t>
      </w:r>
      <w:r w:rsidR="0054265F">
        <w:rPr>
          <w:bCs/>
        </w:rPr>
        <w:t xml:space="preserve">), </w:t>
      </w:r>
      <w:proofErr w:type="spellStart"/>
      <w:r w:rsidR="00E016D9">
        <w:rPr>
          <w:bCs/>
          <w:i/>
        </w:rPr>
        <w:t>fsh_perFish</w:t>
      </w:r>
      <w:proofErr w:type="spellEnd"/>
      <w:r w:rsidR="0054265F">
        <w:rPr>
          <w:bCs/>
        </w:rPr>
        <w:t xml:space="preserve"> contains up to 50 </w:t>
      </w:r>
      <w:r w:rsidR="00E016D9">
        <w:rPr>
          <w:bCs/>
        </w:rPr>
        <w:t xml:space="preserve">individual measurements per species. </w:t>
      </w:r>
      <w:r w:rsidR="0061673A">
        <w:rPr>
          <w:bCs/>
        </w:rPr>
        <w:t xml:space="preserve">Most species have fewer than 50 measurements, though in some cases there are more than 50. </w:t>
      </w:r>
      <w:r w:rsidR="007F4FAB">
        <w:rPr>
          <w:bCs/>
        </w:rPr>
        <w:t>Length measurements were converted to dry mass estimates (mg) using published length-weight equations specific to the fish species or family (FISHBASE).</w:t>
      </w:r>
    </w:p>
    <w:p w14:paraId="6181AC43" w14:textId="6DB78A4D" w:rsidR="00181A3C" w:rsidRPr="00397272" w:rsidRDefault="0061673A" w:rsidP="00181A3C">
      <w:pPr>
        <w:rPr>
          <w:b/>
          <w:bCs/>
        </w:rPr>
      </w:pPr>
      <w:r>
        <w:rPr>
          <w:bCs/>
        </w:rPr>
        <w:t>After measuring the first 50 or so fish, NEON then bulk counts the rest</w:t>
      </w:r>
      <w:r w:rsidR="007B7101">
        <w:rPr>
          <w:bCs/>
        </w:rPr>
        <w:t xml:space="preserve"> and reports those counts per pass</w:t>
      </w:r>
      <w:r w:rsidR="00060EA0">
        <w:rPr>
          <w:bCs/>
        </w:rPr>
        <w:t xml:space="preserve"> in the table </w:t>
      </w:r>
      <w:proofErr w:type="spellStart"/>
      <w:r w:rsidR="00060EA0">
        <w:rPr>
          <w:bCs/>
          <w:i/>
        </w:rPr>
        <w:t>fsh_bulkCount</w:t>
      </w:r>
      <w:proofErr w:type="spellEnd"/>
      <w:r>
        <w:rPr>
          <w:bCs/>
        </w:rPr>
        <w:t>.</w:t>
      </w:r>
      <w:r w:rsidR="00A22871">
        <w:rPr>
          <w:bCs/>
        </w:rPr>
        <w:t xml:space="preserve"> For example</w:t>
      </w:r>
      <w:r w:rsidR="007B7101">
        <w:rPr>
          <w:bCs/>
        </w:rPr>
        <w:t xml:space="preserve">, if </w:t>
      </w:r>
      <w:r w:rsidR="00060EA0">
        <w:rPr>
          <w:bCs/>
        </w:rPr>
        <w:t xml:space="preserve">100 Rainbow Trout were collected on the first pass, then </w:t>
      </w:r>
      <w:proofErr w:type="spellStart"/>
      <w:r w:rsidR="00A22871">
        <w:rPr>
          <w:bCs/>
          <w:i/>
        </w:rPr>
        <w:t>fsh_bulkCount</w:t>
      </w:r>
      <w:proofErr w:type="spellEnd"/>
      <w:r w:rsidR="00A22871">
        <w:rPr>
          <w:bCs/>
        </w:rPr>
        <w:t xml:space="preserve"> would indicate 50 fish with the other 50 indicated by the total count in </w:t>
      </w:r>
      <w:proofErr w:type="spellStart"/>
      <w:r w:rsidR="00A22871">
        <w:rPr>
          <w:bCs/>
          <w:i/>
        </w:rPr>
        <w:t>fsh_perFish</w:t>
      </w:r>
      <w:proofErr w:type="spellEnd"/>
      <w:r w:rsidR="00AE2DDB">
        <w:rPr>
          <w:bCs/>
        </w:rPr>
        <w:t xml:space="preserve">. Adding these totals gives the total number of </w:t>
      </w:r>
      <w:proofErr w:type="gramStart"/>
      <w:r w:rsidR="00AE2DDB">
        <w:rPr>
          <w:bCs/>
        </w:rPr>
        <w:t>fish</w:t>
      </w:r>
      <w:proofErr w:type="gramEnd"/>
      <w:r w:rsidR="00AE2DDB">
        <w:rPr>
          <w:bCs/>
        </w:rPr>
        <w:t xml:space="preserve"> per reach per pass per taxon. </w:t>
      </w:r>
      <w:r w:rsidR="005C52A1">
        <w:rPr>
          <w:bCs/>
        </w:rPr>
        <w:t>We used these data to estimate the total population size of each species using the</w:t>
      </w:r>
      <w:r w:rsidR="00591E9F">
        <w:rPr>
          <w:bCs/>
        </w:rPr>
        <w:t xml:space="preserve"> </w:t>
      </w:r>
      <w:proofErr w:type="spellStart"/>
      <w:r w:rsidR="00591E9F">
        <w:rPr>
          <w:bCs/>
        </w:rPr>
        <w:t>CarleStrub</w:t>
      </w:r>
      <w:proofErr w:type="spellEnd"/>
      <w:r w:rsidR="00591E9F">
        <w:rPr>
          <w:bCs/>
        </w:rPr>
        <w:t xml:space="preserve"> formula in the</w:t>
      </w:r>
      <w:r w:rsidR="000F7EF8">
        <w:rPr>
          <w:bCs/>
        </w:rPr>
        <w:t xml:space="preserve"> </w:t>
      </w:r>
      <w:proofErr w:type="gramStart"/>
      <w:r w:rsidR="000F7EF8">
        <w:rPr>
          <w:bCs/>
          <w:i/>
        </w:rPr>
        <w:t>removal(</w:t>
      </w:r>
      <w:proofErr w:type="gramEnd"/>
      <w:r w:rsidR="000F7EF8">
        <w:rPr>
          <w:bCs/>
          <w:i/>
        </w:rPr>
        <w:t>)</w:t>
      </w:r>
      <w:r w:rsidR="000F7EF8">
        <w:rPr>
          <w:bCs/>
        </w:rPr>
        <w:t xml:space="preserve"> function of the FSA package (CITE). </w:t>
      </w:r>
      <w:r w:rsidR="007D10BE">
        <w:rPr>
          <w:bCs/>
        </w:rPr>
        <w:t xml:space="preserve">This resulted in estimates of fish abundance per m2. </w:t>
      </w:r>
      <w:r w:rsidR="00554592">
        <w:rPr>
          <w:bCs/>
        </w:rPr>
        <w:t xml:space="preserve">We converted these estimates to fish </w:t>
      </w:r>
      <w:r w:rsidR="00554592">
        <w:rPr>
          <w:bCs/>
          <w:i/>
        </w:rPr>
        <w:t>size</w:t>
      </w:r>
      <w:r w:rsidR="00554592">
        <w:rPr>
          <w:bCs/>
        </w:rPr>
        <w:t xml:space="preserve"> per m2 by sampling sizes from the fish size measures. To do this, we first converted measures from per_m2 to </w:t>
      </w:r>
      <w:r w:rsidR="00CB0ADA">
        <w:rPr>
          <w:bCs/>
        </w:rPr>
        <w:t>1000*per_m2 so that abundance estimates were in integers. We th</w:t>
      </w:r>
      <w:r w:rsidR="00D81940">
        <w:rPr>
          <w:bCs/>
        </w:rPr>
        <w:t xml:space="preserve">en sampled </w:t>
      </w:r>
      <w:r w:rsidR="0060299E">
        <w:rPr>
          <w:bCs/>
        </w:rPr>
        <w:t xml:space="preserve">individual </w:t>
      </w:r>
      <w:r w:rsidR="00D81940">
        <w:rPr>
          <w:bCs/>
        </w:rPr>
        <w:t xml:space="preserve">body </w:t>
      </w:r>
      <w:r w:rsidR="0060299E">
        <w:rPr>
          <w:bCs/>
        </w:rPr>
        <w:t>sizes (mg dry mass)</w:t>
      </w:r>
      <w:r w:rsidR="00D81940">
        <w:rPr>
          <w:bCs/>
        </w:rPr>
        <w:t xml:space="preserve"> with replacement from the </w:t>
      </w:r>
      <w:proofErr w:type="spellStart"/>
      <w:r w:rsidR="00D81940">
        <w:rPr>
          <w:bCs/>
          <w:i/>
        </w:rPr>
        <w:t>fsh_perFish</w:t>
      </w:r>
      <w:proofErr w:type="spellEnd"/>
      <w:r w:rsidR="00D81940">
        <w:rPr>
          <w:bCs/>
        </w:rPr>
        <w:t xml:space="preserve"> table relative to the number of individuals estimated from the 3-pass removal. For example, if t</w:t>
      </w:r>
      <w:r w:rsidR="00397272">
        <w:rPr>
          <w:bCs/>
        </w:rPr>
        <w:t xml:space="preserve">he </w:t>
      </w:r>
      <w:proofErr w:type="gramStart"/>
      <w:r w:rsidR="00397272">
        <w:rPr>
          <w:bCs/>
          <w:i/>
        </w:rPr>
        <w:t>removal(</w:t>
      </w:r>
      <w:proofErr w:type="gramEnd"/>
      <w:r w:rsidR="00397272">
        <w:rPr>
          <w:bCs/>
          <w:i/>
        </w:rPr>
        <w:t>)</w:t>
      </w:r>
      <w:r w:rsidR="00397272">
        <w:rPr>
          <w:bCs/>
        </w:rPr>
        <w:t xml:space="preserve"> function estimated 296 individuals</w:t>
      </w:r>
      <w:r w:rsidR="00A03F8E">
        <w:rPr>
          <w:bCs/>
        </w:rPr>
        <w:t xml:space="preserve"> of Speckled Dace in a reach, then we sampled 296 body sizes from the Speckled dace body size measurements (at that site/date/reach combination). Since only 50 individuals were measured, that meant that some body sizes are repeated. </w:t>
      </w:r>
      <w:r w:rsidR="007B5D18">
        <w:rPr>
          <w:bCs/>
        </w:rPr>
        <w:t xml:space="preserve">From this list of body sizes, we obtained a list of counts per </w:t>
      </w:r>
      <w:r w:rsidR="0060299E">
        <w:rPr>
          <w:bCs/>
        </w:rPr>
        <w:t>body size</w:t>
      </w:r>
      <w:r w:rsidR="007B5D18">
        <w:rPr>
          <w:bCs/>
        </w:rPr>
        <w:t xml:space="preserve">, which we then converted to </w:t>
      </w:r>
      <w:r w:rsidR="0086680E">
        <w:rPr>
          <w:bCs/>
        </w:rPr>
        <w:t>body size per m2. These estimates were then combined with macroinvertebrate estimates to generate a list of body sizes (mg dry mass) and their abundance (no/m2) for both fish and macroinvertebrates.</w:t>
      </w:r>
      <w:bookmarkStart w:id="2" w:name="_GoBack"/>
      <w:bookmarkEnd w:id="2"/>
      <w:r w:rsidR="0086680E">
        <w:rPr>
          <w:bCs/>
        </w:rPr>
        <w:t xml:space="preserve"> </w:t>
      </w:r>
      <w:r w:rsidR="007B5D18">
        <w:rPr>
          <w:bCs/>
        </w:rPr>
        <w:t xml:space="preserve"> </w:t>
      </w:r>
      <w:r w:rsidR="00A03F8E">
        <w:rPr>
          <w:bCs/>
        </w:rPr>
        <w:t xml:space="preserve"> </w:t>
      </w:r>
    </w:p>
    <w:p w14:paraId="22B64B11" w14:textId="0BA93A1E" w:rsidR="00104D5D" w:rsidRPr="00181A3C" w:rsidRDefault="00104D5D"/>
    <w:sectPr w:rsidR="00104D5D" w:rsidRPr="00181A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Wesner, Jeff S" w:date="2022-08-15T16:54:00Z" w:initials="WJS">
    <w:p w14:paraId="2D66FC28" w14:textId="77777777" w:rsidR="00104D5D" w:rsidRDefault="00104D5D" w:rsidP="00104D5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8"/>
          <w:szCs w:val="18"/>
        </w:rPr>
      </w:pPr>
      <w:r>
        <w:rPr>
          <w:rStyle w:val="CommentReference"/>
        </w:rPr>
        <w:annotationRef/>
      </w:r>
      <w:r>
        <w:rPr>
          <w:rFonts w:ascii="Calibri-Italic" w:hAnsi="Calibri-Italic" w:cs="Calibri-Italic"/>
          <w:i/>
          <w:iCs/>
          <w:sz w:val="18"/>
          <w:szCs w:val="18"/>
        </w:rPr>
        <w:t xml:space="preserve">Title: </w:t>
      </w:r>
      <w:r>
        <w:rPr>
          <w:rFonts w:ascii="Calibri" w:hAnsi="Calibri" w:cs="Calibri"/>
          <w:sz w:val="18"/>
          <w:szCs w:val="18"/>
        </w:rPr>
        <w:t xml:space="preserve">NEON User Guide to Fish electrofishing, gill netting, and </w:t>
      </w:r>
      <w:proofErr w:type="spellStart"/>
      <w:r>
        <w:rPr>
          <w:rFonts w:ascii="Calibri" w:hAnsi="Calibri" w:cs="Calibri"/>
          <w:sz w:val="18"/>
          <w:szCs w:val="18"/>
        </w:rPr>
        <w:t>fyke</w:t>
      </w:r>
      <w:proofErr w:type="spellEnd"/>
      <w:r>
        <w:rPr>
          <w:rFonts w:ascii="Calibri" w:hAnsi="Calibri" w:cs="Calibri"/>
          <w:sz w:val="18"/>
          <w:szCs w:val="18"/>
        </w:rPr>
        <w:t xml:space="preserve"> netting counts</w:t>
      </w:r>
    </w:p>
    <w:p w14:paraId="62E466D7" w14:textId="77777777" w:rsidR="00104D5D" w:rsidRDefault="00104D5D" w:rsidP="00104D5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>(DP1.20107.001)</w:t>
      </w:r>
    </w:p>
    <w:p w14:paraId="6F4A3DEA" w14:textId="77777777" w:rsidR="00104D5D" w:rsidRDefault="00104D5D" w:rsidP="00104D5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8"/>
          <w:szCs w:val="18"/>
        </w:rPr>
      </w:pPr>
      <w:r>
        <w:rPr>
          <w:rFonts w:ascii="Calibri-Italic" w:hAnsi="Calibri-Italic" w:cs="Calibri-Italic"/>
          <w:i/>
          <w:iCs/>
          <w:sz w:val="18"/>
          <w:szCs w:val="18"/>
        </w:rPr>
        <w:t xml:space="preserve">Date: </w:t>
      </w:r>
      <w:r>
        <w:rPr>
          <w:rFonts w:ascii="Calibri" w:hAnsi="Calibri" w:cs="Calibri"/>
          <w:sz w:val="18"/>
          <w:szCs w:val="18"/>
        </w:rPr>
        <w:t>12/23/2020</w:t>
      </w:r>
    </w:p>
    <w:p w14:paraId="487E546E" w14:textId="0E3624DC" w:rsidR="00104D5D" w:rsidRDefault="00104D5D" w:rsidP="00104D5D">
      <w:pPr>
        <w:pStyle w:val="CommentText"/>
      </w:pPr>
      <w:r>
        <w:rPr>
          <w:rFonts w:ascii="Calibri-Italic" w:hAnsi="Calibri-Italic" w:cs="Calibri-Italic"/>
          <w:i/>
          <w:iCs/>
          <w:sz w:val="18"/>
          <w:szCs w:val="18"/>
        </w:rPr>
        <w:t xml:space="preserve">Author: </w:t>
      </w:r>
      <w:r>
        <w:rPr>
          <w:rFonts w:ascii="Calibri" w:hAnsi="Calibri" w:cs="Calibri"/>
          <w:sz w:val="18"/>
          <w:szCs w:val="18"/>
        </w:rPr>
        <w:t>Dylan Monahan</w:t>
      </w:r>
    </w:p>
  </w:comment>
  <w:comment w:id="1" w:author="Wesner, Jeff S" w:date="2022-08-15T17:09:00Z" w:initials="WJS">
    <w:p w14:paraId="00724519" w14:textId="547DB938" w:rsidR="00E56695" w:rsidRDefault="00E56695">
      <w:pPr>
        <w:pStyle w:val="CommentText"/>
      </w:pPr>
      <w:r>
        <w:rPr>
          <w:rStyle w:val="CommentReference"/>
        </w:rPr>
        <w:annotationRef/>
      </w:r>
      <w:r>
        <w:rPr>
          <w:rFonts w:ascii="Courier New" w:hAnsi="Courier New" w:cs="Courier New"/>
          <w:sz w:val="23"/>
          <w:szCs w:val="23"/>
          <w:shd w:val="clear" w:color="auto" w:fill="FFFFFF"/>
        </w:rPr>
        <w:t xml:space="preserve">NEON (National Ecological Observatory Network). Fish electrofishing, gill netting, and </w:t>
      </w:r>
      <w:proofErr w:type="spellStart"/>
      <w:r>
        <w:rPr>
          <w:rFonts w:ascii="Courier New" w:hAnsi="Courier New" w:cs="Courier New"/>
          <w:sz w:val="23"/>
          <w:szCs w:val="23"/>
          <w:shd w:val="clear" w:color="auto" w:fill="FFFFFF"/>
        </w:rPr>
        <w:t>fyke</w:t>
      </w:r>
      <w:proofErr w:type="spellEnd"/>
      <w:r>
        <w:rPr>
          <w:rFonts w:ascii="Courier New" w:hAnsi="Courier New" w:cs="Courier New"/>
          <w:sz w:val="23"/>
          <w:szCs w:val="23"/>
          <w:shd w:val="clear" w:color="auto" w:fill="FFFFFF"/>
        </w:rPr>
        <w:t xml:space="preserve"> netting counts (DP1.20107.001), RELEASE-2022. https://doi.org/10.48443/7p84-6j62. Dataset accessed from https://data.neonscience.org on August 15, 2022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87E546E" w15:done="0"/>
  <w15:commentEx w15:paraId="00724519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87E546E" w16cid:durableId="26A4F8C0"/>
  <w16cid:commentId w16cid:paraId="00724519" w16cid:durableId="26A4FC3B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-Italic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Wesner, Jeff S">
    <w15:presenceInfo w15:providerId="AD" w15:userId="S::Jeff.Wesner@usd.edu::03cd2d55-ec98-46a5-894b-dc5c67f932a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4C9"/>
    <w:rsid w:val="000328B8"/>
    <w:rsid w:val="00060EA0"/>
    <w:rsid w:val="000F7EF8"/>
    <w:rsid w:val="00104D5D"/>
    <w:rsid w:val="00181A3C"/>
    <w:rsid w:val="002D64C9"/>
    <w:rsid w:val="00397272"/>
    <w:rsid w:val="0054265F"/>
    <w:rsid w:val="00554592"/>
    <w:rsid w:val="00591E9F"/>
    <w:rsid w:val="005C52A1"/>
    <w:rsid w:val="0060299E"/>
    <w:rsid w:val="0061673A"/>
    <w:rsid w:val="0062468E"/>
    <w:rsid w:val="00664C8B"/>
    <w:rsid w:val="007B5D18"/>
    <w:rsid w:val="007B7101"/>
    <w:rsid w:val="007D10BE"/>
    <w:rsid w:val="007F4FAB"/>
    <w:rsid w:val="0086680E"/>
    <w:rsid w:val="00A03F8E"/>
    <w:rsid w:val="00A22871"/>
    <w:rsid w:val="00AE2DDB"/>
    <w:rsid w:val="00CB0ADA"/>
    <w:rsid w:val="00D81940"/>
    <w:rsid w:val="00D95E19"/>
    <w:rsid w:val="00E016D9"/>
    <w:rsid w:val="00E56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91D293"/>
  <w15:chartTrackingRefBased/>
  <w15:docId w15:val="{DD11CD65-40F9-4C85-97CE-2CBAB819C0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104D5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04D5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04D5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04D5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04D5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4D5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4D5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258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99523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414478">
              <w:marLeft w:val="0"/>
              <w:marRight w:val="0"/>
              <w:marTop w:val="0"/>
              <w:marBottom w:val="0"/>
              <w:divBdr>
                <w:top w:val="single" w:sz="6" w:space="0" w:color="565A5C"/>
                <w:left w:val="single" w:sz="6" w:space="0" w:color="565A5C"/>
                <w:bottom w:val="single" w:sz="6" w:space="0" w:color="565A5C"/>
                <w:right w:val="single" w:sz="6" w:space="0" w:color="565A5C"/>
              </w:divBdr>
            </w:div>
          </w:divsChild>
        </w:div>
      </w:divsChild>
    </w:div>
    <w:div w:id="120332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4267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994915">
              <w:marLeft w:val="0"/>
              <w:marRight w:val="0"/>
              <w:marTop w:val="0"/>
              <w:marBottom w:val="0"/>
              <w:divBdr>
                <w:top w:val="single" w:sz="6" w:space="0" w:color="565A5C"/>
                <w:left w:val="single" w:sz="6" w:space="0" w:color="565A5C"/>
                <w:bottom w:val="single" w:sz="6" w:space="0" w:color="565A5C"/>
                <w:right w:val="single" w:sz="6" w:space="0" w:color="565A5C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customXml" Target="../customXml/item3.xml"/><Relationship Id="rId7" Type="http://schemas.openxmlformats.org/officeDocument/2006/relationships/comments" Target="comment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microsoft.com/office/2011/relationships/people" Target="people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0D08B74DB13F641A1FB2572219BFE55" ma:contentTypeVersion="15" ma:contentTypeDescription="Create a new document." ma:contentTypeScope="" ma:versionID="d72e6b404a86689d5149284bbb843f28">
  <xsd:schema xmlns:xsd="http://www.w3.org/2001/XMLSchema" xmlns:xs="http://www.w3.org/2001/XMLSchema" xmlns:p="http://schemas.microsoft.com/office/2006/metadata/properties" xmlns:ns3="26133458-dd6b-4323-9224-444c1d830d6d" xmlns:ns4="ab955a96-761f-4c96-a6fc-04b9ce4c53f5" targetNamespace="http://schemas.microsoft.com/office/2006/metadata/properties" ma:root="true" ma:fieldsID="2fd11072b5cff02776c944f38ca4696e" ns3:_="" ns4:_="">
    <xsd:import namespace="26133458-dd6b-4323-9224-444c1d830d6d"/>
    <xsd:import namespace="ab955a96-761f-4c96-a6fc-04b9ce4c53f5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3:LastSharedByUser" minOccurs="0"/>
                <xsd:element ref="ns3:LastSharedByTime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DateTaken" minOccurs="0"/>
                <xsd:element ref="ns4:MediaServiceLocation" minOccurs="0"/>
                <xsd:element ref="ns4:MediaServiceEventHashCode" minOccurs="0"/>
                <xsd:element ref="ns4:MediaServiceGenerationTime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133458-dd6b-4323-9224-444c1d830d6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  <xsd:element name="LastSharedByUser" ma:index="11" nillable="true" ma:displayName="Last Shared By User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2" nillable="true" ma:displayName="Last Shared By Time" ma:description="" ma:internalName="LastSharedByTim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955a96-761f-4c96-a6fc-04b9ce4c53f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3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5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6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2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EE9B5ED-F880-49A6-95B0-38120AFB23A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6133458-dd6b-4323-9224-444c1d830d6d"/>
    <ds:schemaRef ds:uri="ab955a96-761f-4c96-a6fc-04b9ce4c53f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FC0019A-16E0-4F2C-9013-C19AF8D6DAD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7FC70D4-78E2-4E57-974A-AA74BBA4C7DF}">
  <ds:schemaRefs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ab955a96-761f-4c96-a6fc-04b9ce4c53f5"/>
    <ds:schemaRef ds:uri="26133458-dd6b-4323-9224-444c1d830d6d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435</Words>
  <Characters>2482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Wesner, Jeff S</dc:creator>
  <cp:keywords/>
  <dc:description/>
  <cp:lastModifiedBy>Wesner, Jeff S</cp:lastModifiedBy>
  <cp:revision>25</cp:revision>
  <dcterms:created xsi:type="dcterms:W3CDTF">2022-08-15T21:37:00Z</dcterms:created>
  <dcterms:modified xsi:type="dcterms:W3CDTF">2022-08-15T22:27:00Z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0x01010010D08B74DB13F641A1FB2572219BFE55</vt:lpwstr>
  </property>
</Properties>
</file>