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00F0E" w14:textId="3859DAA9" w:rsidR="0082214A" w:rsidRPr="0082214A" w:rsidRDefault="0082214A">
      <w:pPr>
        <w:rPr>
          <w:rFonts w:ascii="Times New Roman" w:hAnsi="Times New Roman" w:cs="Times New Roman"/>
          <w:b/>
        </w:rPr>
      </w:pPr>
      <w:r>
        <w:rPr>
          <w:rFonts w:ascii="Times New Roman" w:hAnsi="Times New Roman" w:cs="Times New Roman"/>
          <w:b/>
        </w:rPr>
        <w:t>Potential paragraph for discussion along with figure.</w:t>
      </w:r>
    </w:p>
    <w:p w14:paraId="43BDFACE" w14:textId="5D586C6C" w:rsidR="008563D5" w:rsidRDefault="0082214A">
      <w:pPr>
        <w:rPr>
          <w:rFonts w:ascii="Times New Roman" w:hAnsi="Times New Roman" w:cs="Times New Roman"/>
        </w:rPr>
      </w:pPr>
      <w:r>
        <w:rPr>
          <w:rFonts w:ascii="Times New Roman" w:hAnsi="Times New Roman" w:cs="Times New Roman"/>
        </w:rPr>
        <w:t xml:space="preserve">Metabolic scaling theory predicts that lambda varies as a function of three parameters: trophic transfer efficiency (α), predator-prey mass ratio (β), and the reciprocal of the metabolism-mass scaling exponent (ε), often assumed to be ¾ (Brown et al. 2004, </w:t>
      </w:r>
      <w:proofErr w:type="spellStart"/>
      <w:r>
        <w:rPr>
          <w:rFonts w:ascii="Times New Roman" w:hAnsi="Times New Roman" w:cs="Times New Roman"/>
        </w:rPr>
        <w:t>Reuman</w:t>
      </w:r>
      <w:proofErr w:type="spellEnd"/>
      <w:r>
        <w:rPr>
          <w:rFonts w:ascii="Times New Roman" w:hAnsi="Times New Roman" w:cs="Times New Roman"/>
        </w:rPr>
        <w:t xml:space="preserve"> et al. 2009, </w:t>
      </w:r>
      <w:proofErr w:type="spellStart"/>
      <w:r>
        <w:rPr>
          <w:rFonts w:ascii="Times New Roman" w:hAnsi="Times New Roman" w:cs="Times New Roman"/>
        </w:rPr>
        <w:t>Trebilco</w:t>
      </w:r>
      <w:proofErr w:type="spellEnd"/>
      <w:r>
        <w:rPr>
          <w:rFonts w:ascii="Times New Roman" w:hAnsi="Times New Roman" w:cs="Times New Roman"/>
        </w:rPr>
        <w:t xml:space="preserve"> et al. 2013), such that </w:t>
      </w:r>
      <m:oMath>
        <m:r>
          <w:rPr>
            <w:rFonts w:ascii="Cambria Math" w:hAnsi="Cambria Math" w:cs="Times New Roman"/>
            <w:i/>
          </w:rPr>
          <w:sym w:font="Symbol" w:char="F06C"/>
        </m:r>
        <m:r>
          <w:rPr>
            <w:rFonts w:ascii="Cambria Math" w:hAnsi="Cambria Math" w:cs="Times New Roman"/>
          </w:rPr>
          <m:t xml:space="preserve"> +1=</m:t>
        </m:r>
        <m:f>
          <m:fPr>
            <m:ctrlPr>
              <w:rPr>
                <w:rFonts w:ascii="Cambria Math" w:hAnsi="Cambria Math" w:cs="Times New Roman"/>
                <w:i/>
              </w:rPr>
            </m:ctrlPr>
          </m:fPr>
          <m:num>
            <m:r>
              <w:rPr>
                <w:rFonts w:ascii="Cambria Math" w:hAnsi="Cambria Math" w:cs="Times New Roman"/>
              </w:rPr>
              <m:t>log10(α)</m:t>
            </m:r>
          </m:num>
          <m:den>
            <m:r>
              <w:rPr>
                <w:rFonts w:ascii="Cambria Math" w:hAnsi="Cambria Math" w:cs="Times New Roman"/>
              </w:rPr>
              <m:t>log10(</m:t>
            </m:r>
            <w:bookmarkStart w:id="0" w:name="_GoBack"/>
            <m:r>
              <w:rPr>
                <w:rFonts w:ascii="Cambria Math" w:hAnsi="Cambria Math" w:cs="Times New Roman"/>
              </w:rPr>
              <m:t>β)</m:t>
            </m:r>
            <w:bookmarkEnd w:id="0"/>
          </m:den>
        </m:f>
        <m:r>
          <w:rPr>
            <w:rFonts w:ascii="Cambria Math" w:hAnsi="Cambria Math" w:cs="Times New Roman"/>
          </w:rPr>
          <m:t>+</m:t>
        </m:r>
        <m:r>
          <m:rPr>
            <m:sty m:val="p"/>
          </m:rPr>
          <w:rPr>
            <w:rFonts w:ascii="Cambria Math" w:hAnsi="Cambria Math" w:cs="Times New Roman"/>
          </w:rPr>
          <m:t>ε</m:t>
        </m:r>
      </m:oMath>
      <w:r>
        <w:rPr>
          <w:rFonts w:ascii="Times New Roman" w:eastAsiaTheme="minorEastAsia" w:hAnsi="Times New Roman" w:cs="Times New Roman"/>
        </w:rPr>
        <w:t xml:space="preserve"> (Eq. 1). Assuming </w:t>
      </w:r>
      <w:r>
        <w:rPr>
          <w:rFonts w:ascii="Times New Roman" w:hAnsi="Times New Roman" w:cs="Times New Roman"/>
        </w:rPr>
        <w:t>ε = ¾, α ~ 0.1, and β ~ 10</w:t>
      </w:r>
      <w:r>
        <w:rPr>
          <w:rFonts w:ascii="Times New Roman" w:hAnsi="Times New Roman" w:cs="Times New Roman"/>
          <w:vertAlign w:val="superscript"/>
        </w:rPr>
        <w:t>4</w:t>
      </w:r>
      <w:r>
        <w:rPr>
          <w:rFonts w:ascii="Times New Roman" w:hAnsi="Times New Roman" w:cs="Times New Roman"/>
        </w:rPr>
        <w:t xml:space="preserve"> (Brown et al. 2004) yields expected </w:t>
      </w:r>
      <m:oMath>
        <m:r>
          <w:rPr>
            <w:rFonts w:ascii="Cambria Math" w:hAnsi="Cambria Math" w:cs="Times New Roman"/>
            <w:i/>
          </w:rPr>
          <w:sym w:font="Symbol" w:char="F06C"/>
        </m:r>
      </m:oMath>
      <w:r>
        <w:rPr>
          <w:rFonts w:ascii="Times New Roman" w:eastAsiaTheme="minorEastAsia" w:hAnsi="Times New Roman" w:cs="Times New Roman"/>
        </w:rPr>
        <w:t xml:space="preserve"> values of -1.95, far from our empirical estimates of -1.2. In fact,</w:t>
      </w:r>
      <m:oMath>
        <m:r>
          <w:rPr>
            <w:rFonts w:ascii="Cambria Math" w:hAnsi="Cambria Math" w:cs="Times New Roman"/>
          </w:rPr>
          <m:t xml:space="preserve"> </m:t>
        </m:r>
        <m:r>
          <w:rPr>
            <w:rFonts w:ascii="Cambria Math" w:hAnsi="Cambria Math" w:cs="Times New Roman"/>
            <w:i/>
          </w:rPr>
          <w:sym w:font="Symbol" w:char="F06C"/>
        </m:r>
      </m:oMath>
      <w:r>
        <w:rPr>
          <w:rFonts w:ascii="Times New Roman" w:eastAsiaTheme="minorEastAsia" w:hAnsi="Times New Roman" w:cs="Times New Roman"/>
        </w:rPr>
        <w:t xml:space="preserve">’s of -1.2 can only be achieved from Eq. 1 by assuming either inverted PPMR’s (i.e., </w:t>
      </w:r>
      <w:r>
        <w:rPr>
          <w:rFonts w:ascii="Times New Roman" w:hAnsi="Times New Roman" w:cs="Times New Roman"/>
        </w:rPr>
        <w:t>β ~ 10</w:t>
      </w:r>
      <w:r>
        <w:rPr>
          <w:rFonts w:ascii="Times New Roman" w:hAnsi="Times New Roman" w:cs="Times New Roman"/>
          <w:vertAlign w:val="superscript"/>
        </w:rPr>
        <w:t>-2</w:t>
      </w:r>
      <w:r>
        <w:rPr>
          <w:rFonts w:ascii="Times New Roman" w:hAnsi="Times New Roman" w:cs="Times New Roman"/>
        </w:rPr>
        <w:t>), impossible trophic transfer efficiencies (i.e., α &gt; 1), by relaxing the assumption of ¾ power scaling, or by adding an additional term such as ecological subsidies (</w:t>
      </w:r>
      <w:proofErr w:type="spellStart"/>
      <w:r>
        <w:rPr>
          <w:rFonts w:ascii="Times New Roman" w:hAnsi="Times New Roman" w:cs="Times New Roman"/>
        </w:rPr>
        <w:t>Trebilco</w:t>
      </w:r>
      <w:proofErr w:type="spellEnd"/>
      <w:r>
        <w:rPr>
          <w:rFonts w:ascii="Times New Roman" w:hAnsi="Times New Roman" w:cs="Times New Roman"/>
        </w:rPr>
        <w:t xml:space="preserve"> et al. 2013, Perkins et al. 2018). The latter two options seem most likely for freshwater streams. For example, using a mesocosm study of stream macroinvertebrates, we find that </w:t>
      </w:r>
      <m:oMath>
        <m:r>
          <m:rPr>
            <m:sty m:val="p"/>
          </m:rPr>
          <w:rPr>
            <w:rFonts w:ascii="Cambria Math" w:hAnsi="Cambria Math" w:cs="Times New Roman"/>
          </w:rPr>
          <m:t>ε</m:t>
        </m:r>
      </m:oMath>
      <w:r>
        <w:rPr>
          <w:rFonts w:ascii="Times New Roman" w:hAnsi="Times New Roman" w:cs="Times New Roman"/>
        </w:rPr>
        <w:t xml:space="preserve"> is ~0.4, not 0.75 (Figure X). In addition, freshwater streams are heavily subsidized by terrestrial input, particularly to fishes (Baxter et al. 2005) which can account for an increase of ~0.2 to 0.5 units of </w:t>
      </w:r>
      <m:oMath>
        <m:r>
          <w:rPr>
            <w:rFonts w:ascii="Cambria Math" w:hAnsi="Cambria Math" w:cs="Times New Roman"/>
            <w:i/>
          </w:rPr>
          <w:sym w:font="Symbol" w:char="F06C"/>
        </m:r>
      </m:oMath>
      <w:r>
        <w:rPr>
          <w:rFonts w:ascii="Times New Roman" w:eastAsiaTheme="minorEastAsia" w:hAnsi="Times New Roman" w:cs="Times New Roman"/>
        </w:rPr>
        <w:t xml:space="preserve"> (</w:t>
      </w:r>
      <w:r>
        <w:rPr>
          <w:rFonts w:ascii="Times New Roman" w:hAnsi="Times New Roman" w:cs="Times New Roman"/>
        </w:rPr>
        <w:t>Perkins et al. (2018)</w:t>
      </w:r>
      <w:r>
        <w:rPr>
          <w:rFonts w:ascii="Times New Roman" w:eastAsiaTheme="minorEastAsia" w:hAnsi="Times New Roman" w:cs="Times New Roman"/>
        </w:rPr>
        <w:t xml:space="preserve">. Using our experimentally derived values of </w:t>
      </w:r>
      <m:oMath>
        <m:r>
          <m:rPr>
            <m:sty m:val="p"/>
          </m:rPr>
          <w:rPr>
            <w:rFonts w:ascii="Cambria Math" w:hAnsi="Cambria Math" w:cs="Times New Roman"/>
          </w:rPr>
          <m:t>ε</m:t>
        </m:r>
      </m:oMath>
      <w:r>
        <w:rPr>
          <w:rFonts w:ascii="Times New Roman" w:eastAsiaTheme="minorEastAsia" w:hAnsi="Times New Roman" w:cs="Times New Roman"/>
        </w:rPr>
        <w:t xml:space="preserve"> and PPMR, along with literature estimates of </w:t>
      </w:r>
      <w:r>
        <w:rPr>
          <w:rFonts w:ascii="Times New Roman" w:hAnsi="Times New Roman" w:cs="Times New Roman"/>
        </w:rPr>
        <w:t>α, β, and the effect of subsidies (</w:t>
      </w:r>
      <w:commentRangeStart w:id="1"/>
      <w:r>
        <w:rPr>
          <w:rFonts w:ascii="Times New Roman" w:hAnsi="Times New Roman" w:cs="Times New Roman"/>
        </w:rPr>
        <w:t>Hocking et al. 2013</w:t>
      </w:r>
      <w:commentRangeEnd w:id="1"/>
      <w:r>
        <w:rPr>
          <w:rStyle w:val="CommentReference"/>
        </w:rPr>
        <w:commentReference w:id="1"/>
      </w:r>
      <w:r>
        <w:rPr>
          <w:rFonts w:ascii="Times New Roman" w:hAnsi="Times New Roman" w:cs="Times New Roman"/>
        </w:rPr>
        <w:t>, Perkins et al. 2018), we stochastically simulated possible values of lambda. Only simulations with shallow metabolic-size scaling and the presence of subsidies matched the empirically derived lambdas (Figure X). In other words, subsidies alone are unlikely to account for the shallow ISD’s in stream food webs, suggesting that metabolic scaling should be further explored in freshwater stream organisms. We are unaware of any studies except ours that measure metabolic scaling in freshwater larval insects, a surprising result given their importance in nearly every freshwater food web on earth.</w:t>
      </w:r>
    </w:p>
    <w:p w14:paraId="5E458547" w14:textId="2C16CFD5" w:rsidR="0082214A" w:rsidRDefault="0082214A"/>
    <w:p w14:paraId="022FEC75" w14:textId="038F0253" w:rsidR="0082214A" w:rsidRDefault="0082214A">
      <w:r>
        <w:br w:type="page"/>
      </w:r>
    </w:p>
    <w:p w14:paraId="0B63BBDB" w14:textId="77777777" w:rsidR="0082214A" w:rsidRDefault="0082214A" w:rsidP="0082214A">
      <w:pPr>
        <w:rPr>
          <w:rFonts w:ascii="Times New Roman" w:hAnsi="Times New Roman" w:cs="Times New Roman"/>
          <w:b/>
        </w:rPr>
      </w:pPr>
      <w:r>
        <w:rPr>
          <w:rFonts w:ascii="Times New Roman" w:hAnsi="Times New Roman" w:cs="Times New Roman"/>
          <w:b/>
          <w:noProof/>
        </w:rPr>
        <w:lastRenderedPageBreak/>
        <w:drawing>
          <wp:inline distT="0" distB="0" distL="0" distR="0" wp14:anchorId="560F63B8" wp14:editId="27715EED">
            <wp:extent cx="5731510" cy="705421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wo_panel_simula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7054215"/>
                    </a:xfrm>
                    <a:prstGeom prst="rect">
                      <a:avLst/>
                    </a:prstGeom>
                  </pic:spPr>
                </pic:pic>
              </a:graphicData>
            </a:graphic>
          </wp:inline>
        </w:drawing>
      </w:r>
    </w:p>
    <w:p w14:paraId="0C2A83CF" w14:textId="77777777" w:rsidR="0082214A" w:rsidRPr="001A519E" w:rsidRDefault="0082214A" w:rsidP="0082214A">
      <w:pPr>
        <w:autoSpaceDE w:val="0"/>
        <w:autoSpaceDN w:val="0"/>
        <w:adjustRightInd w:val="0"/>
        <w:spacing w:line="276" w:lineRule="auto"/>
        <w:rPr>
          <w:rFonts w:ascii="Times New Roman" w:hAnsi="Times New Roman" w:cs="Times New Roman"/>
        </w:rPr>
      </w:pPr>
      <w:r w:rsidRPr="001A519E">
        <w:rPr>
          <w:rFonts w:ascii="Times New Roman" w:hAnsi="Times New Roman" w:cs="Times New Roman"/>
          <w:b/>
          <w:bCs/>
          <w:sz w:val="20"/>
          <w:szCs w:val="20"/>
        </w:rPr>
        <w:t xml:space="preserve">Fig. </w:t>
      </w:r>
      <w:r>
        <w:rPr>
          <w:rFonts w:ascii="Times New Roman" w:hAnsi="Times New Roman" w:cs="Times New Roman"/>
          <w:b/>
          <w:bCs/>
          <w:sz w:val="20"/>
          <w:szCs w:val="20"/>
        </w:rPr>
        <w:t>6</w:t>
      </w:r>
      <w:r w:rsidRPr="001A519E">
        <w:rPr>
          <w:rFonts w:ascii="Times New Roman" w:hAnsi="Times New Roman" w:cs="Times New Roman"/>
          <w:b/>
          <w:bCs/>
          <w:sz w:val="20"/>
          <w:szCs w:val="20"/>
        </w:rPr>
        <w:t xml:space="preserve"> | </w:t>
      </w:r>
      <w:r>
        <w:rPr>
          <w:rFonts w:ascii="Times New Roman" w:hAnsi="Times New Roman" w:cs="Times New Roman"/>
          <w:b/>
          <w:bCs/>
          <w:sz w:val="20"/>
          <w:szCs w:val="20"/>
        </w:rPr>
        <w:t>Shallow metabolic-mass scaling in freshwater insects and simulations of lambda</w:t>
      </w:r>
      <w:r w:rsidRPr="001A519E">
        <w:rPr>
          <w:rFonts w:ascii="Times New Roman" w:hAnsi="Times New Roman" w:cs="Times New Roman"/>
          <w:b/>
          <w:bCs/>
          <w:sz w:val="20"/>
          <w:szCs w:val="20"/>
        </w:rPr>
        <w:t>.</w:t>
      </w:r>
      <w:r w:rsidRPr="001A519E">
        <w:rPr>
          <w:rFonts w:ascii="Times New Roman" w:hAnsi="Times New Roman" w:cs="Times New Roman"/>
          <w:sz w:val="20"/>
          <w:szCs w:val="20"/>
        </w:rPr>
        <w:t xml:space="preserve"> </w:t>
      </w:r>
      <w:r>
        <w:rPr>
          <w:rFonts w:ascii="Times New Roman" w:hAnsi="Times New Roman" w:cs="Times New Roman"/>
          <w:sz w:val="20"/>
          <w:szCs w:val="20"/>
        </w:rPr>
        <w:t>a-d</w:t>
      </w:r>
      <w:r w:rsidRPr="001A519E">
        <w:rPr>
          <w:rFonts w:ascii="Times New Roman" w:hAnsi="Times New Roman" w:cs="Times New Roman"/>
          <w:sz w:val="20"/>
          <w:szCs w:val="20"/>
        </w:rPr>
        <w:t xml:space="preserve">. </w:t>
      </w:r>
      <w:r>
        <w:rPr>
          <w:rFonts w:ascii="Times New Roman" w:hAnsi="Times New Roman" w:cs="Times New Roman"/>
          <w:sz w:val="20"/>
          <w:szCs w:val="20"/>
        </w:rPr>
        <w:t xml:space="preserve">Metabolic-mass scaling of 412 larval aquatic insects measured under four experimental conditions in stream mesocosms (ambient temperatures without fish, ambient temperatures with fish, heated (+4C) without fish, and heated (+4C) with fish. Temperature increased overall metabolic rates, but did not alter metabolic-mass scaling, which averaged 0.4±0.07 (posterior mean ± sd), substantially shallower than 0.75 (black reference line). e. </w:t>
      </w:r>
      <w:proofErr w:type="spellStart"/>
      <w:r>
        <w:rPr>
          <w:rFonts w:ascii="Times New Roman" w:hAnsi="Times New Roman" w:cs="Times New Roman"/>
          <w:sz w:val="20"/>
          <w:szCs w:val="20"/>
        </w:rPr>
        <w:t>Lamda</w:t>
      </w:r>
      <w:proofErr w:type="spellEnd"/>
      <w:r>
        <w:rPr>
          <w:rFonts w:ascii="Times New Roman" w:hAnsi="Times New Roman" w:cs="Times New Roman"/>
          <w:sz w:val="20"/>
          <w:szCs w:val="20"/>
        </w:rPr>
        <w:t xml:space="preserve"> estimates from stochastic simulations using either 0.75 or 0.4 metabolism-mass scaling (with added uncertainty), along with literature </w:t>
      </w:r>
      <w:r>
        <w:rPr>
          <w:rFonts w:ascii="Times New Roman" w:hAnsi="Times New Roman" w:cs="Times New Roman"/>
          <w:sz w:val="20"/>
          <w:szCs w:val="20"/>
        </w:rPr>
        <w:lastRenderedPageBreak/>
        <w:t xml:space="preserve">estimates of subsidy effects, PPMR, and TE (and their uncertainty). Comparing simulations to empirical estimates (black: 133 NEON field estimates; orange: 24 stream mesocosm estimates) shows that only conditions with subsidy effects and shallow scaling produce lambdas measured in streams.    </w:t>
      </w:r>
    </w:p>
    <w:p w14:paraId="2058D803" w14:textId="77777777" w:rsidR="0082214A" w:rsidRDefault="0082214A"/>
    <w:sectPr w:rsidR="0082214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Wesner, Jeff S" w:date="2023-06-27T21:26:00Z" w:initials="WJS">
    <w:p w14:paraId="399E3852" w14:textId="77777777" w:rsidR="0082214A" w:rsidRDefault="0082214A" w:rsidP="0082214A">
      <w:pPr>
        <w:pStyle w:val="CommentText"/>
      </w:pPr>
      <w:r>
        <w:rPr>
          <w:rStyle w:val="CommentReference"/>
        </w:rPr>
        <w:annotationRef/>
      </w:r>
      <w:r>
        <w:rPr>
          <w:rFonts w:ascii="Arial" w:hAnsi="Arial" w:cs="Arial"/>
          <w:color w:val="222222"/>
          <w:shd w:val="clear" w:color="auto" w:fill="FFFFFF"/>
        </w:rPr>
        <w:t xml:space="preserve">Hocking, M. D., </w:t>
      </w:r>
      <w:proofErr w:type="spellStart"/>
      <w:r>
        <w:rPr>
          <w:rFonts w:ascii="Arial" w:hAnsi="Arial" w:cs="Arial"/>
          <w:color w:val="222222"/>
          <w:shd w:val="clear" w:color="auto" w:fill="FFFFFF"/>
        </w:rPr>
        <w:t>Dulvy</w:t>
      </w:r>
      <w:proofErr w:type="spellEnd"/>
      <w:r>
        <w:rPr>
          <w:rFonts w:ascii="Arial" w:hAnsi="Arial" w:cs="Arial"/>
          <w:color w:val="222222"/>
          <w:shd w:val="clear" w:color="auto" w:fill="FFFFFF"/>
        </w:rPr>
        <w:t xml:space="preserve">, N. K., Reynolds, J. D., Ring, R. A., &amp; </w:t>
      </w:r>
      <w:proofErr w:type="spellStart"/>
      <w:r>
        <w:rPr>
          <w:rFonts w:ascii="Arial" w:hAnsi="Arial" w:cs="Arial"/>
          <w:color w:val="222222"/>
          <w:shd w:val="clear" w:color="auto" w:fill="FFFFFF"/>
        </w:rPr>
        <w:t>Reimchen</w:t>
      </w:r>
      <w:proofErr w:type="spellEnd"/>
      <w:r>
        <w:rPr>
          <w:rFonts w:ascii="Arial" w:hAnsi="Arial" w:cs="Arial"/>
          <w:color w:val="222222"/>
          <w:shd w:val="clear" w:color="auto" w:fill="FFFFFF"/>
        </w:rPr>
        <w:t>, T. E. (2013). Salmon subsidize an escape from a size spectrum. </w:t>
      </w:r>
      <w:r>
        <w:rPr>
          <w:rFonts w:ascii="Arial" w:hAnsi="Arial" w:cs="Arial"/>
          <w:i/>
          <w:iCs/>
          <w:color w:val="222222"/>
          <w:shd w:val="clear" w:color="auto" w:fill="FFFFFF"/>
        </w:rPr>
        <w:t>Proceedings of the Royal Society B: Biological Sciences</w:t>
      </w:r>
      <w:r>
        <w:rPr>
          <w:rFonts w:ascii="Arial" w:hAnsi="Arial" w:cs="Arial"/>
          <w:color w:val="222222"/>
          <w:shd w:val="clear" w:color="auto" w:fill="FFFFFF"/>
        </w:rPr>
        <w:t>, </w:t>
      </w:r>
      <w:r>
        <w:rPr>
          <w:rFonts w:ascii="Arial" w:hAnsi="Arial" w:cs="Arial"/>
          <w:i/>
          <w:iCs/>
          <w:color w:val="222222"/>
          <w:shd w:val="clear" w:color="auto" w:fill="FFFFFF"/>
        </w:rPr>
        <w:t>280</w:t>
      </w:r>
      <w:r>
        <w:rPr>
          <w:rFonts w:ascii="Arial" w:hAnsi="Arial" w:cs="Arial"/>
          <w:color w:val="222222"/>
          <w:shd w:val="clear" w:color="auto" w:fill="FFFFFF"/>
        </w:rPr>
        <w:t>(1753), 20122433.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99E385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99E3852" w16cid:durableId="2845D27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ner, Jeff S">
    <w15:presenceInfo w15:providerId="AD" w15:userId="S::Jeff.Wesner@usd.edu::03cd2d55-ec98-46a5-894b-dc5c67f932a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14A"/>
    <w:rsid w:val="00367998"/>
    <w:rsid w:val="004630C7"/>
    <w:rsid w:val="0082214A"/>
    <w:rsid w:val="008563D5"/>
    <w:rsid w:val="00C91C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C9B3"/>
  <w15:chartTrackingRefBased/>
  <w15:docId w15:val="{A7D0BB91-0919-4D29-AADE-399A98EF4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2214A"/>
    <w:rPr>
      <w:sz w:val="16"/>
      <w:szCs w:val="16"/>
    </w:rPr>
  </w:style>
  <w:style w:type="paragraph" w:styleId="CommentText">
    <w:name w:val="annotation text"/>
    <w:basedOn w:val="Normal"/>
    <w:link w:val="CommentTextChar"/>
    <w:uiPriority w:val="99"/>
    <w:unhideWhenUsed/>
    <w:rsid w:val="0082214A"/>
    <w:pPr>
      <w:spacing w:after="0" w:line="240" w:lineRule="auto"/>
    </w:pPr>
    <w:rPr>
      <w:sz w:val="20"/>
      <w:szCs w:val="20"/>
    </w:rPr>
  </w:style>
  <w:style w:type="character" w:customStyle="1" w:styleId="CommentTextChar">
    <w:name w:val="Comment Text Char"/>
    <w:basedOn w:val="DefaultParagraphFont"/>
    <w:link w:val="CommentText"/>
    <w:uiPriority w:val="99"/>
    <w:rsid w:val="0082214A"/>
    <w:rPr>
      <w:sz w:val="20"/>
      <w:szCs w:val="20"/>
    </w:rPr>
  </w:style>
  <w:style w:type="paragraph" w:styleId="BalloonText">
    <w:name w:val="Balloon Text"/>
    <w:basedOn w:val="Normal"/>
    <w:link w:val="BalloonTextChar"/>
    <w:uiPriority w:val="99"/>
    <w:semiHidden/>
    <w:unhideWhenUsed/>
    <w:rsid w:val="008221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221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1.jpeg"/><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0D08B74DB13F641A1FB2572219BFE55" ma:contentTypeVersion="15" ma:contentTypeDescription="Create a new document." ma:contentTypeScope="" ma:versionID="d72e6b404a86689d5149284bbb843f28">
  <xsd:schema xmlns:xsd="http://www.w3.org/2001/XMLSchema" xmlns:xs="http://www.w3.org/2001/XMLSchema" xmlns:p="http://schemas.microsoft.com/office/2006/metadata/properties" xmlns:ns3="26133458-dd6b-4323-9224-444c1d830d6d" xmlns:ns4="ab955a96-761f-4c96-a6fc-04b9ce4c53f5" targetNamespace="http://schemas.microsoft.com/office/2006/metadata/properties" ma:root="true" ma:fieldsID="2fd11072b5cff02776c944f38ca4696e" ns3:_="" ns4:_="">
    <xsd:import namespace="26133458-dd6b-4323-9224-444c1d830d6d"/>
    <xsd:import namespace="ab955a96-761f-4c96-a6fc-04b9ce4c53f5"/>
    <xsd:element name="properties">
      <xsd:complexType>
        <xsd:sequence>
          <xsd:element name="documentManagement">
            <xsd:complexType>
              <xsd:all>
                <xsd:element ref="ns3:SharedWithUsers" minOccurs="0"/>
                <xsd:element ref="ns3:SharedWithDetails" minOccurs="0"/>
                <xsd:element ref="ns3:SharingHintHash" minOccurs="0"/>
                <xsd:element ref="ns3:LastSharedByUser" minOccurs="0"/>
                <xsd:element ref="ns3:LastSharedByTime"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6133458-dd6b-4323-9224-444c1d830d6d"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b955a96-761f-4c96-a6fc-04b9ce4c53f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5" nillable="true" ma:displayName="MediaServiceAutoTags" ma:description="" ma:internalName="MediaServiceAutoTags"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C2826AF-814E-4D95-A30F-56C16EE9970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6133458-dd6b-4323-9224-444c1d830d6d"/>
    <ds:schemaRef ds:uri="ab955a96-761f-4c96-a6fc-04b9ce4c53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F0738B8-FF62-485F-AEFD-C147C7DA0D20}">
  <ds:schemaRefs>
    <ds:schemaRef ds:uri="http://schemas.microsoft.com/sharepoint/v3/contenttype/forms"/>
  </ds:schemaRefs>
</ds:datastoreItem>
</file>

<file path=customXml/itemProps3.xml><?xml version="1.0" encoding="utf-8"?>
<ds:datastoreItem xmlns:ds="http://schemas.openxmlformats.org/officeDocument/2006/customXml" ds:itemID="{0FADA2B4-2729-48B0-BBB7-D0FECF0F7061}">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2062</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Wesner, Jeff S</dc:creator>
  <cp:keywords/>
  <dc:description/>
  <cp:lastModifiedBy>Wesner, Jeff S</cp:lastModifiedBy>
  <cp:revision>3</cp:revision>
  <dcterms:created xsi:type="dcterms:W3CDTF">2023-06-28T02:55:00Z</dcterms:created>
  <dcterms:modified xsi:type="dcterms:W3CDTF">2023-06-29T18:24:00Z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0x01010010D08B74DB13F641A1FB2572219BFE55</vt:lpwstr>
  </property>
</Properties>
</file>