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C9A168" w14:textId="677A4F47" w:rsidR="00427BEB" w:rsidRPr="004A61FB" w:rsidRDefault="001B6C17">
      <w:pPr>
        <w:rPr>
          <w:rFonts w:ascii="Arial" w:hAnsi="Arial" w:cs="Arial"/>
          <w:b/>
          <w:bCs/>
        </w:rPr>
      </w:pPr>
      <w:r w:rsidRPr="004A61FB">
        <w:rPr>
          <w:rFonts w:ascii="Arial" w:hAnsi="Arial" w:cs="Arial"/>
          <w:b/>
          <w:bCs/>
        </w:rPr>
        <w:t>Supplementary</w:t>
      </w:r>
      <w:r w:rsidR="001B44C4" w:rsidRPr="004A61FB">
        <w:rPr>
          <w:rFonts w:ascii="Arial" w:hAnsi="Arial" w:cs="Arial"/>
          <w:b/>
          <w:bCs/>
        </w:rPr>
        <w:t xml:space="preserve"> methods</w:t>
      </w:r>
    </w:p>
    <w:p w14:paraId="06586A5B" w14:textId="77777777" w:rsidR="001B44C4" w:rsidRPr="004A61FB" w:rsidRDefault="001B44C4">
      <w:pPr>
        <w:rPr>
          <w:rFonts w:ascii="Arial" w:hAnsi="Arial" w:cs="Arial"/>
        </w:rPr>
      </w:pPr>
    </w:p>
    <w:p w14:paraId="1869CB05" w14:textId="7C198FED" w:rsidR="001B44C4" w:rsidRPr="004A61FB" w:rsidRDefault="00BA4EDC" w:rsidP="001B6C17">
      <w:pPr>
        <w:spacing w:line="480" w:lineRule="auto"/>
        <w:rPr>
          <w:rFonts w:ascii="Arial" w:hAnsi="Arial" w:cs="Arial"/>
        </w:rPr>
      </w:pPr>
      <w:r w:rsidRPr="004A61FB">
        <w:rPr>
          <w:rFonts w:ascii="Arial" w:hAnsi="Arial" w:cs="Arial"/>
          <w:b/>
        </w:rPr>
        <w:t>C</w:t>
      </w:r>
      <w:r w:rsidR="001B44C4" w:rsidRPr="004A61FB">
        <w:rPr>
          <w:rFonts w:ascii="Arial" w:hAnsi="Arial" w:cs="Arial"/>
          <w:b/>
        </w:rPr>
        <w:t>horionic villus samples</w:t>
      </w:r>
    </w:p>
    <w:p w14:paraId="646FD7A6" w14:textId="5D420875" w:rsidR="001B44C4" w:rsidRPr="004A61FB" w:rsidRDefault="001B44C4" w:rsidP="001B6C17">
      <w:pPr>
        <w:spacing w:line="480" w:lineRule="auto"/>
        <w:jc w:val="both"/>
        <w:rPr>
          <w:rFonts w:ascii="Arial" w:hAnsi="Arial" w:cs="Arial"/>
          <w:bCs/>
          <w:color w:val="000000" w:themeColor="text1"/>
        </w:rPr>
      </w:pPr>
      <w:r w:rsidRPr="004A61FB">
        <w:rPr>
          <w:rFonts w:ascii="Arial" w:hAnsi="Arial" w:cs="Arial"/>
          <w:bCs/>
          <w:color w:val="000000" w:themeColor="text1"/>
        </w:rPr>
        <w:t>Of the 43 CVS samples obtained, 32 pregnancies resulted in live births and 2 pregnancies were complicated by PE (</w:t>
      </w:r>
      <w:r w:rsidRPr="004A61FB">
        <w:rPr>
          <w:rFonts w:ascii="Arial" w:hAnsi="Arial" w:cs="Arial"/>
          <w:b/>
          <w:color w:val="000000" w:themeColor="text1"/>
        </w:rPr>
        <w:t xml:space="preserve">Supplementary Fig. </w:t>
      </w:r>
      <w:r w:rsidR="00076501" w:rsidRPr="004A61FB">
        <w:rPr>
          <w:rFonts w:ascii="Arial" w:hAnsi="Arial" w:cs="Arial"/>
          <w:b/>
          <w:color w:val="000000" w:themeColor="text1"/>
        </w:rPr>
        <w:t>1</w:t>
      </w:r>
      <w:r w:rsidRPr="004A61FB">
        <w:rPr>
          <w:rFonts w:ascii="Arial" w:hAnsi="Arial" w:cs="Arial"/>
          <w:bCs/>
          <w:color w:val="000000" w:themeColor="text1"/>
        </w:rPr>
        <w:t xml:space="preserve">). To determine if gene expression changes in pregnancies complicated by PE can be seen in late first and early second trimester placentas, the 2 CVS samples from PE pregnancies were matched, based on maternal age, fetal sex, and gestational age at CVS within 3 days, with 10 CVS samples from healthy, uncomplicated pregnancies. </w:t>
      </w:r>
      <w:r w:rsidRPr="004A61FB">
        <w:rPr>
          <w:rFonts w:ascii="Arial" w:hAnsi="Arial" w:cs="Arial"/>
          <w:color w:val="000000" w:themeColor="text1"/>
        </w:rPr>
        <w:t xml:space="preserve">Total RNA was extracted from 12 CVS samples and quality control was performed. </w:t>
      </w:r>
      <w:r w:rsidRPr="004A61FB">
        <w:rPr>
          <w:rFonts w:ascii="Arial" w:hAnsi="Arial" w:cs="Arial"/>
          <w:bCs/>
          <w:color w:val="000000" w:themeColor="text1"/>
        </w:rPr>
        <w:t>Of the 12 CVS samples, 6 samples passed quality control while 6 samples did not pass due to sample degradation and/or low quality. The 4 samples from healthy pregnancies and 2 samples from PE pregnancies, which passed quality controlled, were included in the final analyses.</w:t>
      </w:r>
    </w:p>
    <w:p w14:paraId="2F677EAB" w14:textId="77777777" w:rsidR="001B6C17" w:rsidRPr="004A61FB" w:rsidRDefault="001B6C17" w:rsidP="001B6C17">
      <w:pPr>
        <w:spacing w:line="480" w:lineRule="auto"/>
        <w:jc w:val="both"/>
        <w:rPr>
          <w:rFonts w:ascii="Arial" w:hAnsi="Arial" w:cs="Arial"/>
          <w:bCs/>
          <w:color w:val="000000" w:themeColor="text1"/>
        </w:rPr>
      </w:pPr>
    </w:p>
    <w:p w14:paraId="302D3988" w14:textId="5CAEB2E1" w:rsidR="00BA4EDC" w:rsidRPr="004A61FB" w:rsidRDefault="00B5036F" w:rsidP="001B6C17">
      <w:pPr>
        <w:spacing w:line="480" w:lineRule="auto"/>
        <w:jc w:val="both"/>
        <w:rPr>
          <w:rFonts w:ascii="Arial" w:hAnsi="Arial" w:cs="Arial"/>
          <w:b/>
          <w:bCs/>
        </w:rPr>
      </w:pPr>
      <w:r w:rsidRPr="004A61FB">
        <w:rPr>
          <w:rFonts w:ascii="Arial" w:hAnsi="Arial" w:cs="Arial"/>
          <w:b/>
          <w:bCs/>
        </w:rPr>
        <w:t xml:space="preserve">Hypoxic and </w:t>
      </w:r>
      <w:proofErr w:type="spellStart"/>
      <w:r w:rsidRPr="004A61FB">
        <w:rPr>
          <w:rFonts w:ascii="Arial" w:hAnsi="Arial" w:cs="Arial"/>
          <w:b/>
          <w:bCs/>
        </w:rPr>
        <w:t>normoxic</w:t>
      </w:r>
      <w:proofErr w:type="spellEnd"/>
      <w:r w:rsidRPr="004A61FB">
        <w:rPr>
          <w:rFonts w:ascii="Arial" w:hAnsi="Arial" w:cs="Arial"/>
          <w:b/>
          <w:bCs/>
        </w:rPr>
        <w:t xml:space="preserve"> conditions</w:t>
      </w:r>
    </w:p>
    <w:p w14:paraId="6CDE8535" w14:textId="14CE69E1" w:rsidR="001B44C4" w:rsidRPr="004A61FB" w:rsidRDefault="001B44C4" w:rsidP="001B6C17">
      <w:pPr>
        <w:spacing w:line="480" w:lineRule="auto"/>
        <w:jc w:val="both"/>
        <w:rPr>
          <w:rFonts w:ascii="Arial" w:hAnsi="Arial" w:cs="Arial"/>
        </w:rPr>
      </w:pPr>
      <w:r w:rsidRPr="004A61FB">
        <w:rPr>
          <w:rFonts w:ascii="Arial" w:hAnsi="Arial" w:cs="Arial"/>
        </w:rPr>
        <w:t xml:space="preserve">Oxygen tension was measured using the </w:t>
      </w:r>
      <w:proofErr w:type="spellStart"/>
      <w:r w:rsidRPr="004A61FB">
        <w:rPr>
          <w:rFonts w:ascii="Arial" w:hAnsi="Arial" w:cs="Arial"/>
        </w:rPr>
        <w:t>Extech</w:t>
      </w:r>
      <w:proofErr w:type="spellEnd"/>
      <w:r w:rsidRPr="004A61FB">
        <w:rPr>
          <w:rFonts w:ascii="Arial" w:hAnsi="Arial" w:cs="Arial"/>
        </w:rPr>
        <w:t xml:space="preserve"> Dissolved Oxygen Meter (DO210; </w:t>
      </w:r>
      <w:proofErr w:type="spellStart"/>
      <w:r w:rsidRPr="004A61FB">
        <w:rPr>
          <w:rFonts w:ascii="Arial" w:hAnsi="Arial" w:cs="Arial"/>
        </w:rPr>
        <w:t>Extech</w:t>
      </w:r>
      <w:proofErr w:type="spellEnd"/>
      <w:r w:rsidRPr="004A61FB">
        <w:rPr>
          <w:rFonts w:ascii="Arial" w:hAnsi="Arial" w:cs="Arial"/>
        </w:rPr>
        <w:t xml:space="preserve"> Instruments). Oxygen tension in culture media exposed to ambient air was found to be 21% O</w:t>
      </w:r>
      <w:r w:rsidRPr="004A61FB">
        <w:rPr>
          <w:rFonts w:ascii="Arial" w:hAnsi="Arial" w:cs="Arial"/>
          <w:vertAlign w:val="subscript"/>
        </w:rPr>
        <w:t xml:space="preserve">2 </w:t>
      </w:r>
      <w:r w:rsidRPr="004A61FB">
        <w:rPr>
          <w:rFonts w:ascii="Arial" w:hAnsi="Arial" w:cs="Arial"/>
        </w:rPr>
        <w:t xml:space="preserve">and was defined as </w:t>
      </w:r>
      <w:proofErr w:type="spellStart"/>
      <w:r w:rsidRPr="004A61FB">
        <w:rPr>
          <w:rFonts w:ascii="Arial" w:hAnsi="Arial" w:cs="Arial"/>
        </w:rPr>
        <w:t>normoxia</w:t>
      </w:r>
      <w:proofErr w:type="spellEnd"/>
      <w:r w:rsidRPr="004A61FB">
        <w:rPr>
          <w:rFonts w:ascii="Arial" w:hAnsi="Arial" w:cs="Arial"/>
        </w:rPr>
        <w:t xml:space="preserve">. To achieve hypoxic conditions,  an </w:t>
      </w:r>
      <w:proofErr w:type="spellStart"/>
      <w:r w:rsidRPr="004A61FB">
        <w:rPr>
          <w:rFonts w:ascii="Arial" w:hAnsi="Arial" w:cs="Arial"/>
        </w:rPr>
        <w:t>AtmosBag</w:t>
      </w:r>
      <w:proofErr w:type="spellEnd"/>
      <w:r w:rsidRPr="004A61FB">
        <w:rPr>
          <w:rFonts w:ascii="Arial" w:hAnsi="Arial" w:cs="Arial"/>
        </w:rPr>
        <w:t xml:space="preserve"> (Sigma-Aldrich) was used to bubble culture media with a 1% O</w:t>
      </w:r>
      <w:r w:rsidRPr="004A61FB">
        <w:rPr>
          <w:rFonts w:ascii="Arial" w:hAnsi="Arial" w:cs="Arial"/>
          <w:vertAlign w:val="subscript"/>
        </w:rPr>
        <w:t xml:space="preserve">2 </w:t>
      </w:r>
      <w:r w:rsidRPr="004A61FB">
        <w:rPr>
          <w:rFonts w:ascii="Arial" w:hAnsi="Arial" w:cs="Arial"/>
        </w:rPr>
        <w:t>gas mixture [1% O</w:t>
      </w:r>
      <w:r w:rsidRPr="004A61FB">
        <w:rPr>
          <w:rFonts w:ascii="Arial" w:hAnsi="Arial" w:cs="Arial"/>
          <w:vertAlign w:val="subscript"/>
        </w:rPr>
        <w:t>2</w:t>
      </w:r>
      <w:r w:rsidRPr="004A61FB">
        <w:rPr>
          <w:rFonts w:ascii="Arial" w:hAnsi="Arial" w:cs="Arial"/>
        </w:rPr>
        <w:t>, 5% CO</w:t>
      </w:r>
      <w:r w:rsidRPr="004A61FB">
        <w:rPr>
          <w:rFonts w:ascii="Arial" w:hAnsi="Arial" w:cs="Arial"/>
          <w:vertAlign w:val="subscript"/>
        </w:rPr>
        <w:t>2</w:t>
      </w:r>
      <w:r w:rsidRPr="004A61FB">
        <w:rPr>
          <w:rFonts w:ascii="Arial" w:hAnsi="Arial" w:cs="Arial"/>
        </w:rPr>
        <w:t xml:space="preserve"> and 90% N</w:t>
      </w:r>
      <w:r w:rsidRPr="004A61FB">
        <w:rPr>
          <w:rFonts w:ascii="Arial" w:hAnsi="Arial" w:cs="Arial"/>
          <w:vertAlign w:val="subscript"/>
        </w:rPr>
        <w:t xml:space="preserve">2 </w:t>
      </w:r>
      <w:r w:rsidRPr="004A61FB">
        <w:rPr>
          <w:rFonts w:ascii="Arial" w:hAnsi="Arial" w:cs="Arial"/>
        </w:rPr>
        <w:t xml:space="preserve">gas (AGL)] for 10 minutes </w:t>
      </w:r>
      <w:r w:rsidRPr="004A61FB">
        <w:rPr>
          <w:rFonts w:ascii="Arial" w:hAnsi="Arial" w:cs="Arial"/>
          <w:noProof/>
        </w:rPr>
        <w:fldChar w:fldCharType="begin"/>
      </w:r>
      <w:r w:rsidRPr="004A61FB">
        <w:rPr>
          <w:rFonts w:ascii="Arial" w:hAnsi="Arial" w:cs="Arial"/>
          <w:noProof/>
        </w:rPr>
        <w:instrText xml:space="preserve"> ADDIN EN.CITE &lt;EndNote&gt;&lt;Cite&gt;&lt;Author&gt;Newby&lt;/Author&gt;&lt;Year&gt;2005&lt;/Year&gt;&lt;RecNum&gt;818&lt;/RecNum&gt;&lt;DisplayText&gt;(Newby et al. 2005)&lt;/DisplayText&gt;&lt;record&gt;&lt;rec-number&gt;818&lt;/rec-number&gt;&lt;foreign-keys&gt;&lt;key app="EN" db-id="2e2pswxf6vx5psetermp9wwi2fzr2szd52aw" timestamp="1565805036"&gt;818&lt;/key&gt;&lt;/foreign-keys&gt;&lt;ref-type name="Journal Article"&gt;17&lt;/ref-type&gt;&lt;contributors&gt;&lt;authors&gt;&lt;author&gt;Newby, D.&lt;/author&gt;&lt;author&gt;Marks, L.&lt;/author&gt;&lt;author&gt;Lyall, F.&lt;/author&gt;&lt;/authors&gt;&lt;/contributors&gt;&lt;auth-address&gt;Maternal and Fetal Medicine Section, Institute of Medical Genetics, Yorkhill, Glasgow G3 8SJ, UK.&lt;/auth-address&gt;&lt;titles&gt;&lt;title&gt;Dissolved oxygen concentration in culture medium: assumptions and pitfalls&lt;/title&gt;&lt;secondary-title&gt;Placenta&lt;/secondary-title&gt;&lt;/titles&gt;&lt;periodical&gt;&lt;full-title&gt;Placenta&lt;/full-title&gt;&lt;/periodical&gt;&lt;pages&gt;353-7&lt;/pages&gt;&lt;volume&gt;26&lt;/volume&gt;&lt;number&gt;4&lt;/number&gt;&lt;keywords&gt;&lt;keyword&gt;Absorption&lt;/keyword&gt;&lt;keyword&gt;Chemical Phenomena&lt;/keyword&gt;&lt;keyword&gt;Chemistry, Physical&lt;/keyword&gt;&lt;keyword&gt;Culture Media/*chemistry&lt;/keyword&gt;&lt;keyword&gt;Nitrogen/chemistry&lt;/keyword&gt;&lt;keyword&gt;Oxygen/*analysis&lt;/keyword&gt;&lt;keyword&gt;Reproducibility of Results&lt;/keyword&gt;&lt;/keywords&gt;&lt;dates&gt;&lt;year&gt;2005&lt;/year&gt;&lt;pub-dates&gt;&lt;date&gt;Apr&lt;/date&gt;&lt;/pub-dates&gt;&lt;/dates&gt;&lt;isbn&gt;0143-4004 (Print)&amp;#xD;0143-4004 (Linking)&lt;/isbn&gt;&lt;accession-num&gt;15823622&lt;/accession-num&gt;&lt;urls&gt;&lt;related-urls&gt;&lt;url&gt;https://www.ncbi.nlm.nih.gov/pubmed/15823622&lt;/url&gt;&lt;/related-urls&gt;&lt;/urls&gt;&lt;electronic-resource-num&gt;10.1016/j.placenta.2004.07.002&lt;/electronic-resource-num&gt;&lt;/record&gt;&lt;/Cite&gt;&lt;/EndNote&gt;</w:instrText>
      </w:r>
      <w:r w:rsidRPr="004A61FB">
        <w:rPr>
          <w:rFonts w:ascii="Arial" w:hAnsi="Arial" w:cs="Arial"/>
          <w:noProof/>
        </w:rPr>
        <w:fldChar w:fldCharType="separate"/>
      </w:r>
      <w:r w:rsidRPr="004A61FB">
        <w:rPr>
          <w:rFonts w:ascii="Arial" w:hAnsi="Arial" w:cs="Arial"/>
          <w:noProof/>
        </w:rPr>
        <w:t>(Newby et al. 2005)</w:t>
      </w:r>
      <w:r w:rsidRPr="004A61FB">
        <w:rPr>
          <w:rFonts w:ascii="Arial" w:hAnsi="Arial" w:cs="Arial"/>
          <w:noProof/>
        </w:rPr>
        <w:fldChar w:fldCharType="end"/>
      </w:r>
      <w:r w:rsidRPr="004A61FB">
        <w:rPr>
          <w:rFonts w:ascii="Arial" w:hAnsi="Arial" w:cs="Arial"/>
        </w:rPr>
        <w:t xml:space="preserve"> followed by filling a hypoxia incubator chamber (</w:t>
      </w:r>
      <w:proofErr w:type="spellStart"/>
      <w:r w:rsidRPr="004A61FB">
        <w:rPr>
          <w:rFonts w:ascii="Arial" w:hAnsi="Arial" w:cs="Arial"/>
        </w:rPr>
        <w:t>Stemcell</w:t>
      </w:r>
      <w:proofErr w:type="spellEnd"/>
      <w:r w:rsidRPr="004A61FB">
        <w:rPr>
          <w:rFonts w:ascii="Arial" w:hAnsi="Arial" w:cs="Arial"/>
        </w:rPr>
        <w:t xml:space="preserve"> Technologies) with the 1% O</w:t>
      </w:r>
      <w:r w:rsidRPr="004A61FB">
        <w:rPr>
          <w:rFonts w:ascii="Arial" w:hAnsi="Arial" w:cs="Arial"/>
          <w:vertAlign w:val="subscript"/>
        </w:rPr>
        <w:t xml:space="preserve">2 </w:t>
      </w:r>
      <w:r w:rsidRPr="004A61FB">
        <w:rPr>
          <w:rFonts w:ascii="Arial" w:hAnsi="Arial" w:cs="Arial"/>
        </w:rPr>
        <w:t>gas mixture to displace the remaining ambient air. This approach resulted in an oxygen tension of 2.5% O</w:t>
      </w:r>
      <w:r w:rsidRPr="004A61FB">
        <w:rPr>
          <w:rFonts w:ascii="Arial" w:hAnsi="Arial" w:cs="Arial"/>
          <w:vertAlign w:val="subscript"/>
        </w:rPr>
        <w:t xml:space="preserve">2, </w:t>
      </w:r>
      <w:r w:rsidRPr="004A61FB">
        <w:rPr>
          <w:rFonts w:ascii="Arial" w:hAnsi="Arial" w:cs="Arial"/>
        </w:rPr>
        <w:t>which was maintained</w:t>
      </w:r>
      <w:r w:rsidRPr="004A61FB">
        <w:rPr>
          <w:rFonts w:ascii="Arial" w:hAnsi="Arial" w:cs="Arial"/>
          <w:vertAlign w:val="subscript"/>
        </w:rPr>
        <w:t xml:space="preserve"> </w:t>
      </w:r>
      <w:r w:rsidRPr="004A61FB">
        <w:rPr>
          <w:rFonts w:ascii="Arial" w:hAnsi="Arial" w:cs="Arial"/>
        </w:rPr>
        <w:t>for the duration of the experiment (6 – 24 hours).</w:t>
      </w:r>
    </w:p>
    <w:p w14:paraId="4DC0A066" w14:textId="71D643B7" w:rsidR="00076501" w:rsidRPr="004A61FB" w:rsidRDefault="00076501" w:rsidP="001B6C17">
      <w:pPr>
        <w:spacing w:line="480" w:lineRule="auto"/>
        <w:jc w:val="both"/>
        <w:rPr>
          <w:rFonts w:ascii="Arial" w:hAnsi="Arial" w:cs="Arial"/>
        </w:rPr>
      </w:pPr>
    </w:p>
    <w:p w14:paraId="43F0BB71" w14:textId="27B01198" w:rsidR="00076501" w:rsidRPr="004A61FB" w:rsidRDefault="00076501" w:rsidP="001B6C17">
      <w:pPr>
        <w:spacing w:line="480" w:lineRule="auto"/>
        <w:jc w:val="both"/>
        <w:rPr>
          <w:rFonts w:ascii="Arial" w:hAnsi="Arial" w:cs="Arial"/>
          <w:b/>
        </w:rPr>
      </w:pPr>
      <w:r w:rsidRPr="004A61FB">
        <w:rPr>
          <w:rFonts w:ascii="Arial" w:hAnsi="Arial" w:cs="Arial"/>
          <w:b/>
        </w:rPr>
        <w:lastRenderedPageBreak/>
        <w:t>Immunofluorescence</w:t>
      </w:r>
    </w:p>
    <w:p w14:paraId="13274FDA" w14:textId="09CBF150" w:rsidR="00076501" w:rsidRPr="004A61FB" w:rsidRDefault="00076501" w:rsidP="00076501">
      <w:pPr>
        <w:spacing w:line="480" w:lineRule="auto"/>
        <w:jc w:val="both"/>
        <w:rPr>
          <w:rFonts w:ascii="Arial" w:hAnsi="Arial" w:cs="Arial"/>
          <w:b/>
        </w:rPr>
      </w:pPr>
      <w:r w:rsidRPr="004A61FB">
        <w:rPr>
          <w:rFonts w:ascii="Arial" w:hAnsi="Arial" w:cs="Arial"/>
        </w:rPr>
        <w:t xml:space="preserve">After fixation, cells were washed with PBS and incubated with blocking buffer (1% donkey serum and 3% BSA) for 1 hour. Cells were incubated with a primary antibody diluted in blocking buffer for 2 hours at room temperature, washed and then incubated with a secondary antibody diluted in blocking buffer for 30 minutes at room temperature. </w:t>
      </w:r>
      <w:r w:rsidRPr="004A61FB">
        <w:rPr>
          <w:rFonts w:ascii="Arial" w:eastAsia="Cambria" w:hAnsi="Arial" w:cs="Arial"/>
        </w:rPr>
        <w:t xml:space="preserve">Slides were covered with </w:t>
      </w:r>
      <w:proofErr w:type="spellStart"/>
      <w:r w:rsidRPr="004A61FB">
        <w:rPr>
          <w:rFonts w:ascii="Arial" w:eastAsia="Cambria" w:hAnsi="Arial" w:cs="Arial"/>
        </w:rPr>
        <w:t>Vectashield</w:t>
      </w:r>
      <w:proofErr w:type="spellEnd"/>
      <w:r w:rsidRPr="004A61FB">
        <w:rPr>
          <w:rFonts w:ascii="Arial" w:eastAsia="Cambria" w:hAnsi="Arial" w:cs="Arial"/>
        </w:rPr>
        <w:t xml:space="preserve"> containing 4′, 6-diamidino-2-phenylindole (Vector). </w:t>
      </w:r>
      <w:r w:rsidRPr="004A61FB">
        <w:rPr>
          <w:rFonts w:ascii="Arial" w:hAnsi="Arial" w:cs="Arial"/>
        </w:rPr>
        <w:t xml:space="preserve"> Slides stained with secondary antibody alone served as negative controls for immunofluorescence (IF) staining. </w:t>
      </w:r>
    </w:p>
    <w:p w14:paraId="662F2A82" w14:textId="0922FDC2" w:rsidR="00076501" w:rsidRPr="004A61FB" w:rsidRDefault="00076501" w:rsidP="00076501">
      <w:pPr>
        <w:spacing w:line="480" w:lineRule="auto"/>
        <w:jc w:val="both"/>
        <w:rPr>
          <w:rFonts w:ascii="Arial" w:hAnsi="Arial" w:cs="Arial"/>
          <w:shd w:val="clear" w:color="auto" w:fill="FFFFFF"/>
        </w:rPr>
      </w:pPr>
      <w:r w:rsidRPr="004A61FB">
        <w:rPr>
          <w:rFonts w:ascii="Arial" w:hAnsi="Arial" w:cs="Arial"/>
        </w:rPr>
        <w:tab/>
        <w:t>Primary antibodies used for IF were rabbit anti-NOTCH1 (ab65297; Abcam), rabbit anti-NOTCH2 (ab8926; Abcam), rabbit anti-NOTCH3 (ab60087; Abcam), human JAGGED1 (AF1277; R&amp;D), mouse anti-HES1 (ab119776; Abcam) and rabbit anti-Ki67 (ab15580; Abcam). Secondary antibodies used for IF were Alexa Fluor488 (A21206),</w:t>
      </w:r>
      <w:r w:rsidRPr="004A61FB">
        <w:rPr>
          <w:rFonts w:ascii="Arial" w:hAnsi="Arial" w:cs="Arial"/>
          <w:shd w:val="clear" w:color="auto" w:fill="FFFFFF"/>
        </w:rPr>
        <w:t xml:space="preserve"> Alexa Fluor594 (A21207</w:t>
      </w:r>
      <w:r w:rsidRPr="004A61FB">
        <w:rPr>
          <w:rFonts w:ascii="Arial" w:hAnsi="Arial" w:cs="Arial"/>
        </w:rPr>
        <w:t>)</w:t>
      </w:r>
      <w:r w:rsidRPr="004A61FB">
        <w:rPr>
          <w:rFonts w:ascii="Arial" w:hAnsi="Arial" w:cs="Arial"/>
          <w:shd w:val="clear" w:color="auto" w:fill="FFFFFF"/>
        </w:rPr>
        <w:t xml:space="preserve"> and </w:t>
      </w:r>
      <w:r w:rsidRPr="004A61FB">
        <w:rPr>
          <w:rFonts w:ascii="Arial" w:hAnsi="Arial" w:cs="Arial"/>
        </w:rPr>
        <w:t>Alexa Fluor555 (</w:t>
      </w:r>
      <w:r w:rsidRPr="004A61FB">
        <w:rPr>
          <w:rFonts w:ascii="Arial" w:hAnsi="Arial" w:cs="Arial"/>
          <w:shd w:val="clear" w:color="auto" w:fill="FBFBFB"/>
        </w:rPr>
        <w:t>A21424</w:t>
      </w:r>
      <w:r w:rsidR="00B5036F" w:rsidRPr="004A61FB">
        <w:rPr>
          <w:rFonts w:ascii="Arial" w:hAnsi="Arial" w:cs="Arial"/>
          <w:shd w:val="clear" w:color="auto" w:fill="FBFBFB"/>
        </w:rPr>
        <w:t>).</w:t>
      </w:r>
      <w:r w:rsidRPr="004A61FB">
        <w:rPr>
          <w:rFonts w:ascii="Arial" w:hAnsi="Arial" w:cs="Arial"/>
          <w:shd w:val="clear" w:color="auto" w:fill="FBFBFB"/>
        </w:rPr>
        <w:t xml:space="preserve"> </w:t>
      </w:r>
      <w:r w:rsidR="00B5036F" w:rsidRPr="004A61FB">
        <w:rPr>
          <w:rFonts w:ascii="Arial" w:hAnsi="Arial" w:cs="Arial"/>
          <w:shd w:val="clear" w:color="auto" w:fill="FBFBFB"/>
        </w:rPr>
        <w:t>A</w:t>
      </w:r>
      <w:r w:rsidRPr="004A61FB">
        <w:rPr>
          <w:rFonts w:ascii="Arial" w:hAnsi="Arial" w:cs="Arial"/>
          <w:shd w:val="clear" w:color="auto" w:fill="FBFBFB"/>
        </w:rPr>
        <w:t xml:space="preserve">ll </w:t>
      </w:r>
      <w:r w:rsidR="00B5036F" w:rsidRPr="004A61FB">
        <w:rPr>
          <w:rFonts w:ascii="Arial" w:hAnsi="Arial" w:cs="Arial"/>
          <w:shd w:val="clear" w:color="auto" w:fill="FBFBFB"/>
        </w:rPr>
        <w:t xml:space="preserve">secondary antibodies were </w:t>
      </w:r>
      <w:r w:rsidRPr="004A61FB">
        <w:rPr>
          <w:rFonts w:ascii="Arial" w:hAnsi="Arial" w:cs="Arial"/>
          <w:shd w:val="clear" w:color="auto" w:fill="FBFBFB"/>
        </w:rPr>
        <w:t xml:space="preserve">from </w:t>
      </w:r>
      <w:r w:rsidRPr="004A61FB">
        <w:rPr>
          <w:rFonts w:ascii="Arial" w:hAnsi="Arial" w:cs="Arial"/>
          <w:shd w:val="clear" w:color="auto" w:fill="FFFFFF"/>
        </w:rPr>
        <w:t>Invitrogen.</w:t>
      </w:r>
    </w:p>
    <w:p w14:paraId="289FBD20" w14:textId="5E24BA89" w:rsidR="00076501" w:rsidRPr="004A61FB" w:rsidRDefault="00076501" w:rsidP="001B6C17">
      <w:pPr>
        <w:spacing w:line="480" w:lineRule="auto"/>
        <w:jc w:val="both"/>
        <w:rPr>
          <w:rFonts w:ascii="Arial" w:hAnsi="Arial" w:cs="Arial"/>
        </w:rPr>
      </w:pPr>
    </w:p>
    <w:p w14:paraId="4214FFF9" w14:textId="3CC91266" w:rsidR="00076501" w:rsidRPr="004A61FB" w:rsidRDefault="00076501" w:rsidP="001B6C17">
      <w:pPr>
        <w:spacing w:line="480" w:lineRule="auto"/>
        <w:jc w:val="both"/>
        <w:rPr>
          <w:rFonts w:ascii="Arial" w:hAnsi="Arial" w:cs="Arial"/>
          <w:b/>
          <w:bCs/>
        </w:rPr>
      </w:pPr>
      <w:r w:rsidRPr="004A61FB">
        <w:rPr>
          <w:rFonts w:ascii="Arial" w:hAnsi="Arial" w:cs="Arial"/>
          <w:b/>
          <w:bCs/>
        </w:rPr>
        <w:t>Western blot</w:t>
      </w:r>
    </w:p>
    <w:p w14:paraId="48E2D271" w14:textId="250F7F7A" w:rsidR="00076501" w:rsidRPr="004A61FB" w:rsidRDefault="00076501" w:rsidP="00076501">
      <w:pPr>
        <w:spacing w:line="480" w:lineRule="auto"/>
        <w:jc w:val="both"/>
        <w:rPr>
          <w:rFonts w:ascii="Arial" w:hAnsi="Arial" w:cs="Arial"/>
          <w:color w:val="000000" w:themeColor="text1"/>
        </w:rPr>
      </w:pPr>
      <w:r w:rsidRPr="004A61FB">
        <w:rPr>
          <w:rFonts w:ascii="Arial" w:hAnsi="Arial" w:cs="Arial"/>
          <w:color w:val="000000" w:themeColor="text1"/>
        </w:rPr>
        <w:t xml:space="preserve">Total protein concentration in the lysates were determined using a BCA Protein Assay Kit (Pierce). 30 </w:t>
      </w:r>
      <w:r w:rsidR="00B5036F" w:rsidRPr="004A61FB">
        <w:rPr>
          <w:rFonts w:ascii="Arial" w:hAnsi="Arial" w:cs="Arial"/>
          <w:color w:val="000000" w:themeColor="text1"/>
        </w:rPr>
        <w:t>m</w:t>
      </w:r>
      <w:r w:rsidRPr="004A61FB">
        <w:rPr>
          <w:rFonts w:ascii="Arial" w:hAnsi="Arial" w:cs="Arial"/>
          <w:color w:val="000000" w:themeColor="text1"/>
        </w:rPr>
        <w:t>g of HTR-8/</w:t>
      </w:r>
      <w:proofErr w:type="spellStart"/>
      <w:r w:rsidRPr="004A61FB">
        <w:rPr>
          <w:rFonts w:ascii="Arial" w:hAnsi="Arial" w:cs="Arial"/>
          <w:color w:val="000000" w:themeColor="text1"/>
        </w:rPr>
        <w:t>SVneo</w:t>
      </w:r>
      <w:proofErr w:type="spellEnd"/>
      <w:r w:rsidRPr="004A61FB">
        <w:rPr>
          <w:rFonts w:ascii="Arial" w:hAnsi="Arial" w:cs="Arial"/>
          <w:color w:val="000000" w:themeColor="text1"/>
        </w:rPr>
        <w:t xml:space="preserve"> and 100 </w:t>
      </w:r>
      <w:r w:rsidR="00B5036F" w:rsidRPr="004A61FB">
        <w:rPr>
          <w:rFonts w:ascii="Arial" w:hAnsi="Arial" w:cs="Arial"/>
          <w:color w:val="000000" w:themeColor="text1"/>
        </w:rPr>
        <w:t>m</w:t>
      </w:r>
      <w:r w:rsidRPr="004A61FB">
        <w:rPr>
          <w:rFonts w:ascii="Arial" w:hAnsi="Arial" w:cs="Arial"/>
          <w:color w:val="000000" w:themeColor="text1"/>
        </w:rPr>
        <w:t xml:space="preserve">g of placenta lysate was used for each experiment and </w:t>
      </w:r>
      <w:r w:rsidRPr="004A61FB">
        <w:rPr>
          <w:rFonts w:ascii="Arial" w:hAnsi="Arial" w:cs="Arial"/>
          <w:color w:val="201F1E"/>
          <w:shd w:val="clear" w:color="auto" w:fill="FFFFFF"/>
        </w:rPr>
        <w:t xml:space="preserve">mixed with </w:t>
      </w:r>
      <w:proofErr w:type="spellStart"/>
      <w:r w:rsidRPr="004A61FB">
        <w:rPr>
          <w:rFonts w:ascii="Arial" w:hAnsi="Arial" w:cs="Arial"/>
          <w:color w:val="201F1E"/>
          <w:shd w:val="clear" w:color="auto" w:fill="FFFFFF"/>
        </w:rPr>
        <w:t>Laemmli</w:t>
      </w:r>
      <w:proofErr w:type="spellEnd"/>
      <w:r w:rsidRPr="004A61FB">
        <w:rPr>
          <w:rFonts w:ascii="Arial" w:hAnsi="Arial" w:cs="Arial"/>
          <w:color w:val="201F1E"/>
          <w:shd w:val="clear" w:color="auto" w:fill="FFFFFF"/>
        </w:rPr>
        <w:t xml:space="preserve"> sample buffer (Bio-Rad).</w:t>
      </w:r>
      <w:r w:rsidRPr="004A61FB">
        <w:rPr>
          <w:rFonts w:ascii="Arial" w:hAnsi="Arial" w:cs="Arial"/>
          <w:color w:val="000000" w:themeColor="text1"/>
        </w:rPr>
        <w:t xml:space="preserve"> Proteins were denatured at 100°C for 5 minutes, separated by SDS-polyacrylamide gel electrophoresis (PAGE) on </w:t>
      </w:r>
      <w:r w:rsidRPr="004A61FB">
        <w:rPr>
          <w:rFonts w:ascii="Arial" w:hAnsi="Arial" w:cs="Arial"/>
          <w:color w:val="201F1E"/>
          <w:shd w:val="clear" w:color="auto" w:fill="FFFFFF"/>
        </w:rPr>
        <w:t>4-20% gel (Bio-Rad)</w:t>
      </w:r>
      <w:r w:rsidRPr="004A61FB">
        <w:rPr>
          <w:rFonts w:ascii="Arial" w:hAnsi="Arial" w:cs="Arial"/>
          <w:color w:val="000000" w:themeColor="text1"/>
        </w:rPr>
        <w:t xml:space="preserve"> and then transferred to a 0.45 </w:t>
      </w:r>
      <w:r w:rsidR="00B5036F" w:rsidRPr="004A61FB">
        <w:rPr>
          <w:rFonts w:ascii="Arial" w:hAnsi="Arial" w:cs="Arial"/>
          <w:color w:val="000000" w:themeColor="text1"/>
        </w:rPr>
        <w:t>m</w:t>
      </w:r>
      <w:r w:rsidRPr="004A61FB">
        <w:rPr>
          <w:rFonts w:ascii="Arial" w:hAnsi="Arial" w:cs="Arial"/>
          <w:color w:val="000000" w:themeColor="text1"/>
        </w:rPr>
        <w:t>m pore nitrocellulose membrane (</w:t>
      </w:r>
      <w:proofErr w:type="spellStart"/>
      <w:r w:rsidRPr="004A61FB">
        <w:rPr>
          <w:rFonts w:ascii="Arial" w:hAnsi="Arial" w:cs="Arial"/>
          <w:color w:val="000000" w:themeColor="text1"/>
        </w:rPr>
        <w:t>Amersham</w:t>
      </w:r>
      <w:proofErr w:type="spellEnd"/>
      <w:r w:rsidRPr="004A61FB">
        <w:rPr>
          <w:rFonts w:ascii="Arial" w:hAnsi="Arial" w:cs="Arial"/>
          <w:color w:val="000000" w:themeColor="text1"/>
        </w:rPr>
        <w:t xml:space="preserve">). After blocking overnight with 5% </w:t>
      </w:r>
      <w:proofErr w:type="spellStart"/>
      <w:r w:rsidRPr="004A61FB">
        <w:rPr>
          <w:rFonts w:ascii="Arial" w:hAnsi="Arial" w:cs="Arial"/>
          <w:color w:val="000000" w:themeColor="text1"/>
        </w:rPr>
        <w:t>Difco</w:t>
      </w:r>
      <w:proofErr w:type="spellEnd"/>
      <w:r w:rsidRPr="004A61FB">
        <w:rPr>
          <w:rFonts w:ascii="Arial" w:hAnsi="Arial" w:cs="Arial"/>
          <w:color w:val="000000" w:themeColor="text1"/>
        </w:rPr>
        <w:t xml:space="preserve"> Skim milk (Becton Dickinson) in tris-buffered saline (Bio-Rad) with 0.1% TWEEN® 20 (Sigma) (TBST), membranes were </w:t>
      </w:r>
      <w:r w:rsidRPr="004A61FB">
        <w:rPr>
          <w:rFonts w:ascii="Arial" w:hAnsi="Arial" w:cs="Arial"/>
          <w:color w:val="000000" w:themeColor="text1"/>
        </w:rPr>
        <w:lastRenderedPageBreak/>
        <w:t xml:space="preserve">incubated with primary antibody diluted in blocking buffer at room temperature for 4 hours, </w:t>
      </w:r>
      <w:r w:rsidRPr="004A61FB">
        <w:rPr>
          <w:rFonts w:ascii="Arial" w:hAnsi="Arial" w:cs="Arial"/>
          <w:color w:val="201F1E"/>
          <w:shd w:val="clear" w:color="auto" w:fill="FFFFFF"/>
        </w:rPr>
        <w:t>washed with TBST for 30 minutes</w:t>
      </w:r>
      <w:r w:rsidRPr="004A61FB">
        <w:rPr>
          <w:rFonts w:ascii="Arial" w:hAnsi="Arial" w:cs="Arial"/>
          <w:color w:val="000000" w:themeColor="text1"/>
        </w:rPr>
        <w:t xml:space="preserve"> and then incubated with secondary antibody diluted in blocking buffer for 2 hours at room temperature. The membranes were processed with </w:t>
      </w:r>
      <w:proofErr w:type="spellStart"/>
      <w:r w:rsidRPr="004A61FB">
        <w:rPr>
          <w:rFonts w:ascii="Arial" w:hAnsi="Arial" w:cs="Arial"/>
          <w:color w:val="000000" w:themeColor="text1"/>
        </w:rPr>
        <w:t>Supersignal</w:t>
      </w:r>
      <w:r w:rsidRPr="004A61FB">
        <w:rPr>
          <w:rFonts w:ascii="Arial" w:hAnsi="Arial" w:cs="Arial"/>
          <w:color w:val="000000" w:themeColor="text1"/>
          <w:vertAlign w:val="superscript"/>
        </w:rPr>
        <w:t>TM</w:t>
      </w:r>
      <w:proofErr w:type="spellEnd"/>
      <w:r w:rsidRPr="004A61FB">
        <w:rPr>
          <w:rFonts w:ascii="Arial" w:hAnsi="Arial" w:cs="Arial"/>
          <w:color w:val="000000" w:themeColor="text1"/>
        </w:rPr>
        <w:t xml:space="preserve"> West Pico Plus Chemiluminescent Substrate (</w:t>
      </w:r>
      <w:proofErr w:type="spellStart"/>
      <w:r w:rsidRPr="004A61FB">
        <w:rPr>
          <w:rFonts w:ascii="Arial" w:hAnsi="Arial" w:cs="Arial"/>
          <w:color w:val="000000" w:themeColor="text1"/>
        </w:rPr>
        <w:t>ThermoFisher</w:t>
      </w:r>
      <w:proofErr w:type="spellEnd"/>
      <w:r w:rsidRPr="004A61FB">
        <w:rPr>
          <w:rFonts w:ascii="Arial" w:hAnsi="Arial" w:cs="Arial"/>
          <w:color w:val="000000" w:themeColor="text1"/>
        </w:rPr>
        <w:t xml:space="preserve"> Scientific) and images captured using the </w:t>
      </w:r>
      <w:proofErr w:type="spellStart"/>
      <w:r w:rsidRPr="004A61FB">
        <w:rPr>
          <w:rFonts w:ascii="Arial" w:hAnsi="Arial" w:cs="Arial"/>
          <w:color w:val="000000" w:themeColor="text1"/>
        </w:rPr>
        <w:t>ChemiDoc</w:t>
      </w:r>
      <w:proofErr w:type="spellEnd"/>
      <w:r w:rsidRPr="004A61FB">
        <w:rPr>
          <w:rFonts w:ascii="Arial" w:hAnsi="Arial" w:cs="Arial"/>
          <w:color w:val="000000" w:themeColor="text1"/>
        </w:rPr>
        <w:t xml:space="preserve"> Imaging System (Bio-Rad). Band intensity was measured by densitometric analysis with ImageJ software (</w:t>
      </w:r>
      <w:hyperlink r:id="rId6" w:history="1">
        <w:r w:rsidRPr="004A61FB">
          <w:rPr>
            <w:rStyle w:val="Hyperlink"/>
            <w:rFonts w:ascii="Arial" w:hAnsi="Arial" w:cs="Arial"/>
            <w:color w:val="000000" w:themeColor="text1"/>
          </w:rPr>
          <w:t>http://rsb.info.nih.gov/ij/</w:t>
        </w:r>
      </w:hyperlink>
      <w:r w:rsidRPr="004A61FB">
        <w:rPr>
          <w:rFonts w:ascii="Arial" w:hAnsi="Arial" w:cs="Arial"/>
          <w:color w:val="000000" w:themeColor="text1"/>
        </w:rPr>
        <w:t>) and expressed relative to alpha tubulin or glyceraldehyde 3-phosphate dehydrogenase (GAPDH).</w:t>
      </w:r>
    </w:p>
    <w:p w14:paraId="2421E901" w14:textId="3290F294" w:rsidR="004A61FB" w:rsidRPr="004A61FB" w:rsidRDefault="00076501" w:rsidP="004A61FB">
      <w:pPr>
        <w:shd w:val="clear" w:color="auto" w:fill="FFFFFF" w:themeFill="background1"/>
        <w:spacing w:line="480" w:lineRule="auto"/>
        <w:jc w:val="both"/>
        <w:rPr>
          <w:rFonts w:ascii="Arial" w:hAnsi="Arial" w:cs="Arial"/>
        </w:rPr>
      </w:pPr>
      <w:r w:rsidRPr="004A61FB">
        <w:rPr>
          <w:rFonts w:ascii="Arial" w:hAnsi="Arial" w:cs="Arial"/>
          <w:color w:val="000000" w:themeColor="text1"/>
        </w:rPr>
        <w:tab/>
        <w:t>Primary antibodies used for western blot were rabbit anti-cleaved-NOTCH1 (4147S; Cell Signaling), rabbit anti-NOTCH1 (4380; Cell Signaling), rabbit anti-NOTCH2 (4530; Cell Signaling), rabbit anti-NOTCH3 (ab60087; Abcam), rabbit anti-JAGGED1 (2620; Cell Signaling), mouse anti-GAPDH (97166; Cell Signaling) and recombinant rabbit anti-alpha Tubulin (ab52866; Abcam). Secondary antibodies used were goat-anti-rabbit-HRP (G-21234; Invitrogen) and goat anti-mouse-HRP (G-21040; Invitrogen).</w:t>
      </w:r>
    </w:p>
    <w:p w14:paraId="69BDD493" w14:textId="77777777" w:rsidR="00DE6677" w:rsidRDefault="00DE6677">
      <w:pPr>
        <w:rPr>
          <w:rFonts w:ascii="Arial" w:hAnsi="Arial" w:cs="Arial"/>
          <w:b/>
          <w:bCs/>
          <w:color w:val="000000" w:themeColor="text1"/>
        </w:rPr>
      </w:pPr>
      <w:r>
        <w:rPr>
          <w:rFonts w:ascii="Arial" w:hAnsi="Arial" w:cs="Arial"/>
          <w:b/>
          <w:bCs/>
          <w:color w:val="000000" w:themeColor="text1"/>
        </w:rPr>
        <w:br w:type="page"/>
      </w:r>
    </w:p>
    <w:p w14:paraId="1DACCD89" w14:textId="77777777" w:rsidR="00DE6677" w:rsidRDefault="00DE6677" w:rsidP="004A61FB">
      <w:pPr>
        <w:shd w:val="clear" w:color="auto" w:fill="FFFFFF" w:themeFill="background1"/>
        <w:spacing w:line="480" w:lineRule="auto"/>
        <w:jc w:val="both"/>
        <w:rPr>
          <w:rFonts w:ascii="Arial" w:hAnsi="Arial" w:cs="Arial"/>
          <w:b/>
          <w:bCs/>
          <w:color w:val="000000" w:themeColor="text1"/>
        </w:rPr>
      </w:pPr>
      <w:r>
        <w:rPr>
          <w:rFonts w:ascii="Arial" w:hAnsi="Arial" w:cs="Arial"/>
          <w:b/>
          <w:bCs/>
          <w:color w:val="000000" w:themeColor="text1"/>
        </w:rPr>
        <w:lastRenderedPageBreak/>
        <w:t>Figure Legends</w:t>
      </w:r>
    </w:p>
    <w:p w14:paraId="2DA283A2" w14:textId="29903E25" w:rsidR="008668C5" w:rsidRPr="004A61FB" w:rsidRDefault="008668C5" w:rsidP="004A61FB">
      <w:pPr>
        <w:shd w:val="clear" w:color="auto" w:fill="FFFFFF" w:themeFill="background1"/>
        <w:spacing w:line="480" w:lineRule="auto"/>
        <w:jc w:val="both"/>
        <w:rPr>
          <w:rFonts w:ascii="Arial" w:hAnsi="Arial" w:cs="Arial"/>
          <w:color w:val="000000" w:themeColor="text1"/>
        </w:rPr>
      </w:pPr>
      <w:r w:rsidRPr="004A61FB">
        <w:rPr>
          <w:rFonts w:ascii="Arial" w:hAnsi="Arial" w:cs="Arial"/>
          <w:b/>
          <w:bCs/>
          <w:color w:val="000000" w:themeColor="text1"/>
        </w:rPr>
        <w:t>Supplementary Figure</w:t>
      </w:r>
      <w:r w:rsidRPr="004A61FB">
        <w:rPr>
          <w:rFonts w:ascii="Arial" w:hAnsi="Arial" w:cs="Arial"/>
          <w:b/>
          <w:color w:val="000000" w:themeColor="text1"/>
        </w:rPr>
        <w:t xml:space="preserve"> 1. Clinical study patient inclusion flow diagram.  </w:t>
      </w:r>
      <w:r w:rsidRPr="004A61FB">
        <w:rPr>
          <w:rFonts w:ascii="Arial" w:hAnsi="Arial" w:cs="Arial"/>
          <w:bCs/>
          <w:color w:val="000000" w:themeColor="text1"/>
        </w:rPr>
        <w:t>CVS samples were collected from 43 subjects. Pregnancy outcome data was collected for 38/43 subjects. There were 29 deliveries at term. Of those, 29 subjects were not diagnosed with a hypertensive disease of pregnancy and 3 subjects met criteria for diagnosis of hypertensive disease of pregnancy. One subject was diagnosed with gestational hypertension, one was diagnosed with preeclampsia (PE) without severe features (SF</w:t>
      </w:r>
      <w:proofErr w:type="gramStart"/>
      <w:r w:rsidRPr="004A61FB">
        <w:rPr>
          <w:rFonts w:ascii="Arial" w:hAnsi="Arial" w:cs="Arial"/>
          <w:bCs/>
          <w:color w:val="000000" w:themeColor="text1"/>
        </w:rPr>
        <w:t>)</w:t>
      </w:r>
      <w:proofErr w:type="gramEnd"/>
      <w:r w:rsidRPr="004A61FB">
        <w:rPr>
          <w:rFonts w:ascii="Arial" w:hAnsi="Arial" w:cs="Arial"/>
          <w:bCs/>
          <w:color w:val="000000" w:themeColor="text1"/>
        </w:rPr>
        <w:t xml:space="preserve"> and one was diagnosed with PE with SF. Diagnoses were made according to the American College of Obstetricians and Gynecologists criteria at the time the patients were enrolled. Each of the 2 pregnancies complicated by PE was matched based on maternal age, fetal sex, and gestational age at CVS within 3 days with 5 healthy, uncomplicated pregnancies.</w:t>
      </w:r>
      <w:r w:rsidRPr="004A61FB">
        <w:rPr>
          <w:rFonts w:ascii="Arial" w:hAnsi="Arial" w:cs="Arial"/>
          <w:color w:val="000000" w:themeColor="text1"/>
        </w:rPr>
        <w:t xml:space="preserve"> Total RNA was extracted from 12 CVS samples. </w:t>
      </w:r>
      <w:r w:rsidRPr="004A61FB">
        <w:rPr>
          <w:rFonts w:ascii="Arial" w:hAnsi="Arial" w:cs="Arial"/>
          <w:bCs/>
          <w:color w:val="000000" w:themeColor="text1"/>
        </w:rPr>
        <w:t>Of the 10 healthy CVS samples, 6 did not pass quality control due to sample degradation and/or low quality and were excluded from the analyses. mRNA-seq was performed on 6 CVS samples that did pass quality control</w:t>
      </w:r>
      <w:r w:rsidRPr="004A61FB">
        <w:rPr>
          <w:rFonts w:ascii="Arial" w:hAnsi="Arial" w:cs="Arial"/>
          <w:color w:val="000000" w:themeColor="text1"/>
          <w:bdr w:val="none" w:sz="0" w:space="0" w:color="auto" w:frame="1"/>
        </w:rPr>
        <w:t xml:space="preserve">, 4 from healthy pregnancies and 2 from PE pregnancies. </w:t>
      </w:r>
    </w:p>
    <w:p w14:paraId="7E825B3E" w14:textId="6EFFE424" w:rsidR="00316052" w:rsidRPr="004A61FB" w:rsidRDefault="00316052">
      <w:pPr>
        <w:rPr>
          <w:rFonts w:ascii="Arial" w:hAnsi="Arial" w:cs="Arial"/>
          <w:b/>
          <w:color w:val="000000" w:themeColor="text1"/>
        </w:rPr>
      </w:pPr>
    </w:p>
    <w:p w14:paraId="0304FD65" w14:textId="05B11EE0" w:rsidR="008668C5" w:rsidRPr="004A61FB" w:rsidRDefault="008668C5" w:rsidP="008668C5">
      <w:pPr>
        <w:spacing w:line="480" w:lineRule="auto"/>
        <w:jc w:val="both"/>
        <w:rPr>
          <w:rFonts w:ascii="Arial" w:hAnsi="Arial" w:cs="Arial"/>
          <w:b/>
          <w:color w:val="000000" w:themeColor="text1"/>
        </w:rPr>
      </w:pPr>
      <w:r w:rsidRPr="004A61FB">
        <w:rPr>
          <w:rFonts w:ascii="Arial" w:hAnsi="Arial" w:cs="Arial"/>
          <w:b/>
          <w:color w:val="000000" w:themeColor="text1"/>
        </w:rPr>
        <w:t>Supplementary Figure 2. Gene Set Enrichment Analysis (GSEA) hallmark pathways are altered in HTR-8/</w:t>
      </w:r>
      <w:proofErr w:type="spellStart"/>
      <w:r w:rsidRPr="004A61FB">
        <w:rPr>
          <w:rFonts w:ascii="Arial" w:hAnsi="Arial" w:cs="Arial"/>
          <w:b/>
          <w:color w:val="000000" w:themeColor="text1"/>
        </w:rPr>
        <w:t>SVneo</w:t>
      </w:r>
      <w:proofErr w:type="spellEnd"/>
      <w:r w:rsidRPr="004A61FB">
        <w:rPr>
          <w:rFonts w:ascii="Arial" w:hAnsi="Arial" w:cs="Arial"/>
          <w:b/>
          <w:color w:val="000000" w:themeColor="text1"/>
        </w:rPr>
        <w:t xml:space="preserve"> following exposure to hypoxia for 6 hours. </w:t>
      </w:r>
      <w:r w:rsidRPr="004A61FB">
        <w:rPr>
          <w:rFonts w:ascii="Arial" w:hAnsi="Arial" w:cs="Arial"/>
          <w:color w:val="000000" w:themeColor="text1"/>
        </w:rPr>
        <w:t>HTR-8/</w:t>
      </w:r>
      <w:proofErr w:type="spellStart"/>
      <w:r w:rsidRPr="004A61FB">
        <w:rPr>
          <w:rFonts w:ascii="Arial" w:hAnsi="Arial" w:cs="Arial"/>
          <w:color w:val="000000" w:themeColor="text1"/>
        </w:rPr>
        <w:t>SVneo</w:t>
      </w:r>
      <w:proofErr w:type="spellEnd"/>
      <w:r w:rsidRPr="004A61FB">
        <w:rPr>
          <w:rFonts w:ascii="Arial" w:hAnsi="Arial" w:cs="Arial"/>
          <w:color w:val="000000" w:themeColor="text1"/>
        </w:rPr>
        <w:t xml:space="preserve"> cells were exposed to </w:t>
      </w:r>
      <w:proofErr w:type="spellStart"/>
      <w:r w:rsidRPr="004A61FB">
        <w:rPr>
          <w:rFonts w:ascii="Arial" w:hAnsi="Arial" w:cs="Arial"/>
          <w:color w:val="000000" w:themeColor="text1"/>
        </w:rPr>
        <w:t>normoxic</w:t>
      </w:r>
      <w:proofErr w:type="spellEnd"/>
      <w:r w:rsidRPr="004A61FB">
        <w:rPr>
          <w:rFonts w:ascii="Arial" w:hAnsi="Arial" w:cs="Arial"/>
          <w:color w:val="000000" w:themeColor="text1"/>
        </w:rPr>
        <w:t xml:space="preserve"> </w:t>
      </w:r>
      <w:r w:rsidRPr="004A61FB">
        <w:rPr>
          <w:rFonts w:ascii="Arial" w:hAnsi="Arial" w:cs="Arial"/>
          <w:bCs/>
          <w:color w:val="000000" w:themeColor="text1"/>
        </w:rPr>
        <w:t>(21% O</w:t>
      </w:r>
      <w:r w:rsidRPr="004A61FB">
        <w:rPr>
          <w:rFonts w:ascii="Arial" w:hAnsi="Arial" w:cs="Arial"/>
          <w:bCs/>
          <w:color w:val="000000" w:themeColor="text1"/>
          <w:vertAlign w:val="subscript"/>
        </w:rPr>
        <w:t>2</w:t>
      </w:r>
      <w:r w:rsidRPr="004A61FB">
        <w:rPr>
          <w:rFonts w:ascii="Arial" w:hAnsi="Arial" w:cs="Arial"/>
          <w:bCs/>
          <w:color w:val="000000" w:themeColor="text1"/>
        </w:rPr>
        <w:t>)</w:t>
      </w:r>
      <w:r w:rsidRPr="004A61FB">
        <w:rPr>
          <w:rFonts w:ascii="Arial" w:hAnsi="Arial" w:cs="Arial"/>
          <w:bCs/>
          <w:color w:val="000000" w:themeColor="text1"/>
          <w:vertAlign w:val="subscript"/>
        </w:rPr>
        <w:t xml:space="preserve"> </w:t>
      </w:r>
      <w:r w:rsidRPr="004A61FB">
        <w:rPr>
          <w:rFonts w:ascii="Arial" w:hAnsi="Arial" w:cs="Arial"/>
          <w:color w:val="000000" w:themeColor="text1"/>
        </w:rPr>
        <w:t xml:space="preserve">or hypoxic </w:t>
      </w:r>
      <w:r w:rsidRPr="004A61FB">
        <w:rPr>
          <w:rFonts w:ascii="Arial" w:hAnsi="Arial" w:cs="Arial"/>
          <w:bCs/>
          <w:color w:val="000000" w:themeColor="text1"/>
        </w:rPr>
        <w:t>(2.5% O</w:t>
      </w:r>
      <w:r w:rsidRPr="004A61FB">
        <w:rPr>
          <w:rFonts w:ascii="Arial" w:hAnsi="Arial" w:cs="Arial"/>
          <w:bCs/>
          <w:color w:val="000000" w:themeColor="text1"/>
          <w:vertAlign w:val="subscript"/>
        </w:rPr>
        <w:t>2</w:t>
      </w:r>
      <w:r w:rsidRPr="004A61FB">
        <w:rPr>
          <w:rFonts w:ascii="Arial" w:hAnsi="Arial" w:cs="Arial"/>
          <w:bCs/>
          <w:color w:val="000000" w:themeColor="text1"/>
        </w:rPr>
        <w:t>)</w:t>
      </w:r>
      <w:r w:rsidRPr="004A61FB">
        <w:rPr>
          <w:rFonts w:ascii="Arial" w:hAnsi="Arial" w:cs="Arial"/>
          <w:bCs/>
          <w:color w:val="000000" w:themeColor="text1"/>
          <w:vertAlign w:val="subscript"/>
        </w:rPr>
        <w:t xml:space="preserve"> </w:t>
      </w:r>
      <w:r w:rsidRPr="004A61FB">
        <w:rPr>
          <w:rFonts w:ascii="Arial" w:hAnsi="Arial" w:cs="Arial"/>
          <w:color w:val="000000" w:themeColor="text1"/>
        </w:rPr>
        <w:t xml:space="preserve">conditions for 6 hours (n = 3 per condition) and mRNA-seq was used to determine GSEA hallmark pathways. </w:t>
      </w:r>
      <w:r w:rsidRPr="004A61FB">
        <w:rPr>
          <w:rFonts w:ascii="Arial" w:hAnsi="Arial" w:cs="Arial"/>
          <w:color w:val="000000" w:themeColor="text1"/>
          <w:bdr w:val="none" w:sz="0" w:space="0" w:color="auto" w:frame="1"/>
        </w:rPr>
        <w:t xml:space="preserve">Enrichment score represents upregulation or downregulation as a sum of the genes in the pathway, as compared from the hypoxia exposed cells to the </w:t>
      </w:r>
      <w:proofErr w:type="spellStart"/>
      <w:r w:rsidRPr="004A61FB">
        <w:rPr>
          <w:rFonts w:ascii="Arial" w:hAnsi="Arial" w:cs="Arial"/>
          <w:color w:val="000000" w:themeColor="text1"/>
          <w:bdr w:val="none" w:sz="0" w:space="0" w:color="auto" w:frame="1"/>
        </w:rPr>
        <w:t>normoxia</w:t>
      </w:r>
      <w:proofErr w:type="spellEnd"/>
      <w:r w:rsidRPr="004A61FB">
        <w:rPr>
          <w:rFonts w:ascii="Arial" w:hAnsi="Arial" w:cs="Arial"/>
          <w:color w:val="000000" w:themeColor="text1"/>
          <w:bdr w:val="none" w:sz="0" w:space="0" w:color="auto" w:frame="1"/>
        </w:rPr>
        <w:t xml:space="preserve"> </w:t>
      </w:r>
      <w:r w:rsidRPr="004A61FB">
        <w:rPr>
          <w:rFonts w:ascii="Arial" w:hAnsi="Arial" w:cs="Arial"/>
          <w:color w:val="000000" w:themeColor="text1"/>
          <w:bdr w:val="none" w:sz="0" w:space="0" w:color="auto" w:frame="1"/>
        </w:rPr>
        <w:lastRenderedPageBreak/>
        <w:t xml:space="preserve">exposed cells. Blue bars represent a significantly altered pathway based on </w:t>
      </w:r>
      <w:proofErr w:type="spellStart"/>
      <w:r w:rsidRPr="004A61FB">
        <w:rPr>
          <w:rFonts w:ascii="Arial" w:hAnsi="Arial" w:cs="Arial"/>
          <w:i/>
          <w:iCs/>
          <w:color w:val="000000" w:themeColor="text1"/>
          <w:bdr w:val="none" w:sz="0" w:space="0" w:color="auto" w:frame="1"/>
        </w:rPr>
        <w:t>p</w:t>
      </w:r>
      <w:r w:rsidRPr="004A61FB">
        <w:rPr>
          <w:rFonts w:ascii="Arial" w:hAnsi="Arial" w:cs="Arial"/>
          <w:color w:val="000000" w:themeColor="text1"/>
          <w:bdr w:val="none" w:sz="0" w:space="0" w:color="auto" w:frame="1"/>
        </w:rPr>
        <w:t>adj</w:t>
      </w:r>
      <w:proofErr w:type="spellEnd"/>
      <w:r w:rsidRPr="004A61FB">
        <w:rPr>
          <w:rFonts w:ascii="Arial" w:hAnsi="Arial" w:cs="Arial"/>
          <w:color w:val="000000" w:themeColor="text1"/>
          <w:bdr w:val="none" w:sz="0" w:space="0" w:color="auto" w:frame="1"/>
        </w:rPr>
        <w:t xml:space="preserve">&lt;0.05. Orange bars represent a non-significant pathway based on </w:t>
      </w:r>
      <w:r w:rsidRPr="004A61FB">
        <w:rPr>
          <w:rFonts w:ascii="Arial" w:hAnsi="Arial" w:cs="Arial"/>
          <w:i/>
          <w:iCs/>
          <w:color w:val="000000" w:themeColor="text1"/>
          <w:bdr w:val="none" w:sz="0" w:space="0" w:color="auto" w:frame="1"/>
        </w:rPr>
        <w:t>p</w:t>
      </w:r>
      <w:r w:rsidRPr="004A61FB">
        <w:rPr>
          <w:rFonts w:ascii="Arial" w:hAnsi="Arial" w:cs="Arial"/>
          <w:color w:val="000000" w:themeColor="text1"/>
          <w:bdr w:val="none" w:sz="0" w:space="0" w:color="auto" w:frame="1"/>
        </w:rPr>
        <w:t xml:space="preserve"> adj&lt;0.05. </w:t>
      </w:r>
    </w:p>
    <w:p w14:paraId="34566DE4" w14:textId="73932503" w:rsidR="00316052" w:rsidRPr="004A61FB" w:rsidRDefault="00316052">
      <w:pPr>
        <w:rPr>
          <w:rFonts w:ascii="Arial" w:hAnsi="Arial" w:cs="Arial"/>
          <w:b/>
          <w:bCs/>
          <w:color w:val="000000" w:themeColor="text1"/>
        </w:rPr>
      </w:pPr>
    </w:p>
    <w:p w14:paraId="63FEA33F" w14:textId="76FA2275" w:rsidR="008668C5" w:rsidRPr="004A61FB" w:rsidRDefault="008668C5" w:rsidP="008668C5">
      <w:pPr>
        <w:spacing w:line="480" w:lineRule="auto"/>
        <w:jc w:val="both"/>
        <w:rPr>
          <w:rFonts w:ascii="Arial" w:hAnsi="Arial" w:cs="Arial"/>
          <w:color w:val="000000" w:themeColor="text1"/>
        </w:rPr>
      </w:pPr>
      <w:r w:rsidRPr="004A61FB">
        <w:rPr>
          <w:rFonts w:ascii="Arial" w:hAnsi="Arial" w:cs="Arial"/>
          <w:b/>
          <w:bCs/>
          <w:color w:val="000000" w:themeColor="text1"/>
        </w:rPr>
        <w:t>Supplementary Figure 3.</w:t>
      </w:r>
      <w:r w:rsidRPr="004A61FB">
        <w:rPr>
          <w:rFonts w:ascii="Arial" w:hAnsi="Arial" w:cs="Arial"/>
          <w:color w:val="000000" w:themeColor="text1"/>
        </w:rPr>
        <w:t xml:space="preserve"> </w:t>
      </w:r>
      <w:r w:rsidRPr="004A61FB">
        <w:rPr>
          <w:rFonts w:ascii="Arial" w:hAnsi="Arial" w:cs="Arial"/>
          <w:b/>
          <w:color w:val="000000" w:themeColor="text1"/>
        </w:rPr>
        <w:t>Exposure of HTR-8/</w:t>
      </w:r>
      <w:proofErr w:type="spellStart"/>
      <w:r w:rsidRPr="004A61FB">
        <w:rPr>
          <w:rFonts w:ascii="Arial" w:hAnsi="Arial" w:cs="Arial"/>
          <w:b/>
          <w:color w:val="000000" w:themeColor="text1"/>
        </w:rPr>
        <w:t>SVneo</w:t>
      </w:r>
      <w:proofErr w:type="spellEnd"/>
      <w:r w:rsidRPr="004A61FB">
        <w:rPr>
          <w:rFonts w:ascii="Arial" w:hAnsi="Arial" w:cs="Arial"/>
          <w:b/>
          <w:color w:val="000000" w:themeColor="text1"/>
        </w:rPr>
        <w:t xml:space="preserve"> cells to hypoxia for 24 hours increases Notch signaling. </w:t>
      </w:r>
      <w:r w:rsidRPr="004A61FB">
        <w:rPr>
          <w:rFonts w:ascii="Arial" w:hAnsi="Arial" w:cs="Arial"/>
          <w:color w:val="000000" w:themeColor="text1"/>
        </w:rPr>
        <w:t>HTR-8/</w:t>
      </w:r>
      <w:proofErr w:type="spellStart"/>
      <w:r w:rsidRPr="004A61FB">
        <w:rPr>
          <w:rFonts w:ascii="Arial" w:hAnsi="Arial" w:cs="Arial"/>
          <w:color w:val="000000" w:themeColor="text1"/>
        </w:rPr>
        <w:t>SVneo</w:t>
      </w:r>
      <w:proofErr w:type="spellEnd"/>
      <w:r w:rsidRPr="004A61FB">
        <w:rPr>
          <w:rFonts w:ascii="Arial" w:hAnsi="Arial" w:cs="Arial"/>
          <w:color w:val="000000" w:themeColor="text1"/>
        </w:rPr>
        <w:t xml:space="preserve"> cells were exposed to </w:t>
      </w:r>
      <w:proofErr w:type="spellStart"/>
      <w:r w:rsidRPr="004A61FB">
        <w:rPr>
          <w:rFonts w:ascii="Arial" w:hAnsi="Arial" w:cs="Arial"/>
          <w:color w:val="000000" w:themeColor="text1"/>
        </w:rPr>
        <w:t>normoxic</w:t>
      </w:r>
      <w:proofErr w:type="spellEnd"/>
      <w:r w:rsidRPr="004A61FB">
        <w:rPr>
          <w:rFonts w:ascii="Arial" w:hAnsi="Arial" w:cs="Arial"/>
          <w:color w:val="000000" w:themeColor="text1"/>
        </w:rPr>
        <w:t xml:space="preserve"> </w:t>
      </w:r>
      <w:r w:rsidRPr="004A61FB">
        <w:rPr>
          <w:rFonts w:ascii="Arial" w:hAnsi="Arial" w:cs="Arial"/>
          <w:bCs/>
          <w:color w:val="000000" w:themeColor="text1"/>
        </w:rPr>
        <w:t>(21% O</w:t>
      </w:r>
      <w:r w:rsidRPr="004A61FB">
        <w:rPr>
          <w:rFonts w:ascii="Arial" w:hAnsi="Arial" w:cs="Arial"/>
          <w:bCs/>
          <w:color w:val="000000" w:themeColor="text1"/>
          <w:vertAlign w:val="subscript"/>
        </w:rPr>
        <w:t>2</w:t>
      </w:r>
      <w:r w:rsidRPr="004A61FB">
        <w:rPr>
          <w:rFonts w:ascii="Arial" w:hAnsi="Arial" w:cs="Arial"/>
          <w:bCs/>
          <w:color w:val="000000" w:themeColor="text1"/>
        </w:rPr>
        <w:t>)</w:t>
      </w:r>
      <w:r w:rsidRPr="004A61FB">
        <w:rPr>
          <w:rFonts w:ascii="Arial" w:hAnsi="Arial" w:cs="Arial"/>
          <w:bCs/>
          <w:color w:val="000000" w:themeColor="text1"/>
          <w:vertAlign w:val="subscript"/>
        </w:rPr>
        <w:t xml:space="preserve">. </w:t>
      </w:r>
      <w:r w:rsidRPr="004A61FB">
        <w:rPr>
          <w:rFonts w:ascii="Arial" w:hAnsi="Arial" w:cs="Arial"/>
          <w:color w:val="000000" w:themeColor="text1"/>
        </w:rPr>
        <w:t xml:space="preserve">or hypoxic </w:t>
      </w:r>
      <w:r w:rsidRPr="004A61FB">
        <w:rPr>
          <w:rFonts w:ascii="Arial" w:hAnsi="Arial" w:cs="Arial"/>
          <w:bCs/>
          <w:color w:val="000000" w:themeColor="text1"/>
        </w:rPr>
        <w:t>(2.5% O</w:t>
      </w:r>
      <w:r w:rsidRPr="004A61FB">
        <w:rPr>
          <w:rFonts w:ascii="Arial" w:hAnsi="Arial" w:cs="Arial"/>
          <w:bCs/>
          <w:color w:val="000000" w:themeColor="text1"/>
          <w:vertAlign w:val="subscript"/>
        </w:rPr>
        <w:t>2</w:t>
      </w:r>
      <w:r w:rsidRPr="004A61FB">
        <w:rPr>
          <w:rFonts w:ascii="Arial" w:hAnsi="Arial" w:cs="Arial"/>
          <w:bCs/>
          <w:color w:val="000000" w:themeColor="text1"/>
        </w:rPr>
        <w:t>)</w:t>
      </w:r>
      <w:r w:rsidRPr="004A61FB">
        <w:rPr>
          <w:rFonts w:ascii="Arial" w:hAnsi="Arial" w:cs="Arial"/>
          <w:bCs/>
          <w:color w:val="000000" w:themeColor="text1"/>
          <w:vertAlign w:val="subscript"/>
        </w:rPr>
        <w:t xml:space="preserve"> </w:t>
      </w:r>
      <w:r w:rsidRPr="004A61FB">
        <w:rPr>
          <w:rFonts w:ascii="Arial" w:hAnsi="Arial" w:cs="Arial"/>
          <w:color w:val="000000" w:themeColor="text1"/>
        </w:rPr>
        <w:t xml:space="preserve">conditions for 24 hours. </w:t>
      </w:r>
      <w:r w:rsidRPr="004A61FB">
        <w:rPr>
          <w:rFonts w:ascii="Arial" w:hAnsi="Arial" w:cs="Arial"/>
          <w:b/>
          <w:bCs/>
          <w:color w:val="000000" w:themeColor="text1"/>
        </w:rPr>
        <w:t xml:space="preserve">(A) </w:t>
      </w:r>
      <w:r w:rsidRPr="004A61FB">
        <w:rPr>
          <w:rFonts w:ascii="Arial" w:hAnsi="Arial" w:cs="Arial"/>
          <w:color w:val="000000" w:themeColor="text1"/>
        </w:rPr>
        <w:t>Exposure to hypoxia for 24 hours significantly increased</w:t>
      </w:r>
      <w:r w:rsidRPr="004A61FB">
        <w:rPr>
          <w:rFonts w:ascii="Arial" w:hAnsi="Arial" w:cs="Arial"/>
          <w:b/>
          <w:bCs/>
          <w:color w:val="000000" w:themeColor="text1"/>
        </w:rPr>
        <w:t xml:space="preserve"> </w:t>
      </w:r>
      <w:r w:rsidRPr="004A61FB">
        <w:rPr>
          <w:rFonts w:ascii="Arial" w:hAnsi="Arial" w:cs="Arial"/>
          <w:color w:val="000000" w:themeColor="text1"/>
        </w:rPr>
        <w:t xml:space="preserve">expression of </w:t>
      </w:r>
      <w:r w:rsidRPr="004A61FB">
        <w:rPr>
          <w:rFonts w:ascii="Arial" w:hAnsi="Arial" w:cs="Arial"/>
          <w:i/>
          <w:color w:val="000000" w:themeColor="text1"/>
        </w:rPr>
        <w:t xml:space="preserve">HES1 </w:t>
      </w:r>
      <w:r w:rsidRPr="004A61FB">
        <w:rPr>
          <w:rFonts w:ascii="Arial" w:hAnsi="Arial" w:cs="Arial"/>
          <w:iCs/>
          <w:color w:val="000000" w:themeColor="text1"/>
        </w:rPr>
        <w:t xml:space="preserve">mRNA as determined by </w:t>
      </w:r>
      <w:proofErr w:type="spellStart"/>
      <w:r w:rsidRPr="004A61FB">
        <w:rPr>
          <w:rFonts w:ascii="Arial" w:hAnsi="Arial" w:cs="Arial"/>
          <w:iCs/>
          <w:color w:val="000000" w:themeColor="text1"/>
        </w:rPr>
        <w:t>qRT</w:t>
      </w:r>
      <w:proofErr w:type="spellEnd"/>
      <w:r w:rsidRPr="004A61FB">
        <w:rPr>
          <w:rFonts w:ascii="Arial" w:hAnsi="Arial" w:cs="Arial"/>
          <w:iCs/>
          <w:color w:val="000000" w:themeColor="text1"/>
        </w:rPr>
        <w:t xml:space="preserve">-PCR </w:t>
      </w:r>
      <w:r w:rsidRPr="004A61FB">
        <w:rPr>
          <w:rFonts w:ascii="Arial" w:hAnsi="Arial" w:cs="Arial"/>
          <w:color w:val="000000" w:themeColor="text1"/>
        </w:rPr>
        <w:t>(n=6 per condition, **</w:t>
      </w:r>
      <w:r w:rsidRPr="004A61FB">
        <w:rPr>
          <w:rFonts w:ascii="Arial" w:hAnsi="Arial" w:cs="Arial"/>
          <w:i/>
          <w:iCs/>
          <w:color w:val="000000" w:themeColor="text1"/>
        </w:rPr>
        <w:t>p</w:t>
      </w:r>
      <w:r w:rsidRPr="004A61FB">
        <w:rPr>
          <w:rFonts w:ascii="Arial" w:hAnsi="Arial" w:cs="Arial"/>
          <w:color w:val="000000" w:themeColor="text1"/>
        </w:rPr>
        <w:t xml:space="preserve">&lt;0.01). </w:t>
      </w:r>
      <w:r w:rsidRPr="004A61FB">
        <w:rPr>
          <w:rFonts w:ascii="Arial" w:hAnsi="Arial" w:cs="Arial"/>
          <w:iCs/>
          <w:color w:val="000000" w:themeColor="text1"/>
        </w:rPr>
        <w:t xml:space="preserve">Cell </w:t>
      </w:r>
      <w:r w:rsidRPr="004A61FB">
        <w:rPr>
          <w:rFonts w:ascii="Arial" w:hAnsi="Arial" w:cs="Arial"/>
          <w:color w:val="000000" w:themeColor="text1"/>
        </w:rPr>
        <w:t>viability was assessed by a MTT assay and proliferation by Ki67 IF</w:t>
      </w:r>
      <w:r w:rsidRPr="004A61FB">
        <w:rPr>
          <w:rFonts w:ascii="Arial" w:hAnsi="Arial" w:cs="Arial"/>
          <w:b/>
          <w:bCs/>
          <w:color w:val="000000" w:themeColor="text1"/>
        </w:rPr>
        <w:t>.</w:t>
      </w:r>
      <w:r w:rsidRPr="004A61FB">
        <w:rPr>
          <w:rFonts w:ascii="Arial" w:hAnsi="Arial" w:cs="Arial"/>
          <w:color w:val="000000" w:themeColor="text1"/>
        </w:rPr>
        <w:t xml:space="preserve"> (</w:t>
      </w:r>
      <w:r w:rsidRPr="004A61FB">
        <w:rPr>
          <w:rFonts w:ascii="Arial" w:hAnsi="Arial" w:cs="Arial"/>
          <w:b/>
          <w:bCs/>
          <w:color w:val="000000" w:themeColor="text1"/>
        </w:rPr>
        <w:t>B)</w:t>
      </w:r>
      <w:r w:rsidRPr="004A61FB">
        <w:rPr>
          <w:rFonts w:ascii="Arial" w:hAnsi="Arial" w:cs="Arial"/>
          <w:color w:val="000000" w:themeColor="text1"/>
        </w:rPr>
        <w:t xml:space="preserve"> Exposure to hypoxia for 24 hours did not impact relative cell viability, normalized to viability of cells exposed to </w:t>
      </w:r>
      <w:proofErr w:type="spellStart"/>
      <w:r w:rsidRPr="004A61FB">
        <w:rPr>
          <w:rFonts w:ascii="Arial" w:hAnsi="Arial" w:cs="Arial"/>
          <w:color w:val="000000" w:themeColor="text1"/>
        </w:rPr>
        <w:t>normoxia</w:t>
      </w:r>
      <w:proofErr w:type="spellEnd"/>
      <w:r w:rsidRPr="004A61FB">
        <w:rPr>
          <w:rFonts w:ascii="Arial" w:hAnsi="Arial" w:cs="Arial"/>
          <w:color w:val="000000" w:themeColor="text1"/>
        </w:rPr>
        <w:t xml:space="preserve"> (n = 6 per condition). </w:t>
      </w:r>
      <w:r w:rsidRPr="004A61FB">
        <w:rPr>
          <w:rFonts w:ascii="Arial" w:hAnsi="Arial" w:cs="Arial"/>
          <w:b/>
          <w:bCs/>
          <w:color w:val="000000" w:themeColor="text1"/>
        </w:rPr>
        <w:t>(C)</w:t>
      </w:r>
      <w:r w:rsidRPr="004A61FB">
        <w:rPr>
          <w:rFonts w:ascii="Arial" w:hAnsi="Arial" w:cs="Arial"/>
          <w:color w:val="000000" w:themeColor="text1"/>
        </w:rPr>
        <w:t xml:space="preserve"> Expression of nuclear Ki67 per total number of cells in 3 high powered fields was determined. Exposure to hypoxia for 24 hours did not impact cellular proliferation (n = 6 per condition). All data are represented as median + IQR.  </w:t>
      </w:r>
    </w:p>
    <w:p w14:paraId="2F63D814" w14:textId="03807EF5" w:rsidR="00316052" w:rsidRPr="004A61FB" w:rsidRDefault="00316052">
      <w:pPr>
        <w:rPr>
          <w:rFonts w:ascii="Arial" w:hAnsi="Arial" w:cs="Arial"/>
          <w:b/>
          <w:bCs/>
          <w:color w:val="000000" w:themeColor="text1"/>
        </w:rPr>
      </w:pPr>
    </w:p>
    <w:p w14:paraId="63DAFC31" w14:textId="6C3EF660" w:rsidR="008668C5" w:rsidRPr="004A61FB" w:rsidRDefault="008668C5" w:rsidP="008668C5">
      <w:pPr>
        <w:spacing w:line="480" w:lineRule="auto"/>
        <w:jc w:val="both"/>
        <w:rPr>
          <w:rFonts w:ascii="Arial" w:hAnsi="Arial" w:cs="Arial"/>
          <w:bCs/>
          <w:color w:val="000000" w:themeColor="text1"/>
        </w:rPr>
      </w:pPr>
      <w:r w:rsidRPr="004A61FB">
        <w:rPr>
          <w:rFonts w:ascii="Arial" w:hAnsi="Arial" w:cs="Arial"/>
          <w:b/>
          <w:bCs/>
          <w:color w:val="000000" w:themeColor="text1"/>
        </w:rPr>
        <w:t>Supplementary Figure</w:t>
      </w:r>
      <w:r w:rsidRPr="004A61FB">
        <w:rPr>
          <w:rFonts w:ascii="Arial" w:hAnsi="Arial" w:cs="Arial"/>
          <w:b/>
          <w:color w:val="000000" w:themeColor="text1"/>
        </w:rPr>
        <w:t xml:space="preserve"> 4. Exposure of HTR-8/</w:t>
      </w:r>
      <w:proofErr w:type="spellStart"/>
      <w:r w:rsidRPr="004A61FB">
        <w:rPr>
          <w:rFonts w:ascii="Arial" w:hAnsi="Arial" w:cs="Arial"/>
          <w:b/>
          <w:color w:val="000000" w:themeColor="text1"/>
        </w:rPr>
        <w:t>SVneo</w:t>
      </w:r>
      <w:proofErr w:type="spellEnd"/>
      <w:r w:rsidRPr="004A61FB">
        <w:rPr>
          <w:rFonts w:ascii="Arial" w:hAnsi="Arial" w:cs="Arial"/>
          <w:b/>
          <w:color w:val="000000" w:themeColor="text1"/>
        </w:rPr>
        <w:t xml:space="preserve"> cells to hypoxia for 6 hours alters TIMP and MMP expression. </w:t>
      </w:r>
      <w:r w:rsidRPr="004A61FB">
        <w:rPr>
          <w:rFonts w:ascii="Arial" w:hAnsi="Arial" w:cs="Arial"/>
          <w:bCs/>
          <w:color w:val="000000" w:themeColor="text1"/>
        </w:rPr>
        <w:t xml:space="preserve">Heatmap of normalized hit counts shows the 11 </w:t>
      </w:r>
      <w:r w:rsidRPr="004A61FB">
        <w:rPr>
          <w:rFonts w:ascii="Arial" w:hAnsi="Arial" w:cs="Arial"/>
          <w:color w:val="000000" w:themeColor="text1"/>
        </w:rPr>
        <w:t xml:space="preserve">significant differentially expressed </w:t>
      </w:r>
      <w:r w:rsidRPr="004A61FB">
        <w:rPr>
          <w:rFonts w:ascii="Arial" w:hAnsi="Arial" w:cs="Arial"/>
          <w:bCs/>
          <w:color w:val="000000" w:themeColor="text1"/>
        </w:rPr>
        <w:t xml:space="preserve">TIMP/MMP </w:t>
      </w:r>
      <w:r w:rsidRPr="004A61FB">
        <w:rPr>
          <w:rFonts w:ascii="Arial" w:hAnsi="Arial" w:cs="Arial"/>
          <w:color w:val="000000" w:themeColor="text1"/>
        </w:rPr>
        <w:t xml:space="preserve">genes </w:t>
      </w:r>
      <w:r w:rsidRPr="004A61FB">
        <w:rPr>
          <w:rFonts w:ascii="Arial" w:hAnsi="Arial" w:cs="Arial"/>
          <w:bCs/>
          <w:color w:val="000000" w:themeColor="text1"/>
        </w:rPr>
        <w:t xml:space="preserve">in </w:t>
      </w:r>
      <w:r w:rsidRPr="004A61FB">
        <w:rPr>
          <w:rFonts w:ascii="Arial" w:hAnsi="Arial" w:cs="Arial"/>
          <w:color w:val="000000" w:themeColor="text1"/>
        </w:rPr>
        <w:t>HTR-8/</w:t>
      </w:r>
      <w:proofErr w:type="spellStart"/>
      <w:r w:rsidRPr="004A61FB">
        <w:rPr>
          <w:rFonts w:ascii="Arial" w:hAnsi="Arial" w:cs="Arial"/>
          <w:color w:val="000000" w:themeColor="text1"/>
        </w:rPr>
        <w:t>SVneo</w:t>
      </w:r>
      <w:proofErr w:type="spellEnd"/>
      <w:r w:rsidRPr="004A61FB">
        <w:rPr>
          <w:rFonts w:ascii="Arial" w:hAnsi="Arial" w:cs="Arial"/>
          <w:color w:val="000000" w:themeColor="text1"/>
        </w:rPr>
        <w:t xml:space="preserve"> cells exposed to hypoxia (2.5% O</w:t>
      </w:r>
      <w:r w:rsidRPr="004A61FB">
        <w:rPr>
          <w:rFonts w:ascii="Arial" w:hAnsi="Arial" w:cs="Arial"/>
          <w:color w:val="000000" w:themeColor="text1"/>
          <w:vertAlign w:val="subscript"/>
        </w:rPr>
        <w:t>2</w:t>
      </w:r>
      <w:r w:rsidRPr="004A61FB">
        <w:rPr>
          <w:rFonts w:ascii="Arial" w:hAnsi="Arial" w:cs="Arial"/>
          <w:color w:val="000000" w:themeColor="text1"/>
        </w:rPr>
        <w:t xml:space="preserve">) as compared to </w:t>
      </w:r>
      <w:proofErr w:type="spellStart"/>
      <w:r w:rsidRPr="004A61FB">
        <w:rPr>
          <w:rFonts w:ascii="Arial" w:hAnsi="Arial" w:cs="Arial"/>
          <w:color w:val="000000" w:themeColor="text1"/>
        </w:rPr>
        <w:t>normoxia</w:t>
      </w:r>
      <w:proofErr w:type="spellEnd"/>
      <w:r w:rsidRPr="004A61FB">
        <w:rPr>
          <w:rFonts w:ascii="Arial" w:hAnsi="Arial" w:cs="Arial"/>
          <w:color w:val="000000" w:themeColor="text1"/>
        </w:rPr>
        <w:t xml:space="preserve"> (21% O</w:t>
      </w:r>
      <w:r w:rsidRPr="004A61FB">
        <w:rPr>
          <w:rFonts w:ascii="Arial" w:hAnsi="Arial" w:cs="Arial"/>
          <w:color w:val="000000" w:themeColor="text1"/>
          <w:vertAlign w:val="subscript"/>
        </w:rPr>
        <w:t>2</w:t>
      </w:r>
      <w:r w:rsidRPr="004A61FB">
        <w:rPr>
          <w:rFonts w:ascii="Arial" w:hAnsi="Arial" w:cs="Arial"/>
          <w:color w:val="000000" w:themeColor="text1"/>
        </w:rPr>
        <w:t xml:space="preserve">) for 6 hours (n = 6 per condition). </w:t>
      </w:r>
      <w:r w:rsidRPr="004A61FB">
        <w:rPr>
          <w:rFonts w:ascii="Arial" w:hAnsi="Arial" w:cs="Arial"/>
          <w:bCs/>
          <w:color w:val="000000" w:themeColor="text1"/>
        </w:rPr>
        <w:t xml:space="preserve">FDR </w:t>
      </w:r>
      <w:r w:rsidRPr="004A61FB">
        <w:rPr>
          <w:rFonts w:ascii="Arial" w:hAnsi="Arial" w:cs="Arial"/>
          <w:bCs/>
          <w:i/>
          <w:iCs/>
          <w:color w:val="000000" w:themeColor="text1"/>
        </w:rPr>
        <w:t>p</w:t>
      </w:r>
      <w:r w:rsidRPr="004A61FB">
        <w:rPr>
          <w:rFonts w:ascii="Arial" w:hAnsi="Arial" w:cs="Arial"/>
          <w:bCs/>
          <w:color w:val="000000" w:themeColor="text1"/>
        </w:rPr>
        <w:t>-value &lt; 0.05.</w:t>
      </w:r>
    </w:p>
    <w:p w14:paraId="467EA4AE" w14:textId="77777777" w:rsidR="004A61FB" w:rsidRPr="004A61FB" w:rsidRDefault="004A61FB" w:rsidP="004A61FB">
      <w:pPr>
        <w:spacing w:line="480" w:lineRule="auto"/>
        <w:jc w:val="both"/>
        <w:rPr>
          <w:rFonts w:ascii="Arial" w:hAnsi="Arial" w:cs="Arial"/>
          <w:bCs/>
          <w:color w:val="000000" w:themeColor="text1"/>
        </w:rPr>
      </w:pPr>
    </w:p>
    <w:p w14:paraId="3DE098A0" w14:textId="34A65606" w:rsidR="004A61FB" w:rsidRPr="004A61FB" w:rsidRDefault="008668C5" w:rsidP="004A61FB">
      <w:pPr>
        <w:spacing w:line="480" w:lineRule="auto"/>
        <w:rPr>
          <w:rFonts w:ascii="Arial" w:eastAsia="Times New Roman" w:hAnsi="Arial" w:cs="Arial"/>
          <w:b/>
          <w:bCs/>
          <w:color w:val="000000" w:themeColor="text1"/>
        </w:rPr>
      </w:pPr>
      <w:r w:rsidRPr="004A61FB">
        <w:rPr>
          <w:rFonts w:ascii="Arial" w:hAnsi="Arial" w:cs="Arial"/>
          <w:b/>
          <w:color w:val="000000" w:themeColor="text1"/>
        </w:rPr>
        <w:t xml:space="preserve">Supplementary Figure </w:t>
      </w:r>
      <w:r w:rsidR="00B13741" w:rsidRPr="004A61FB">
        <w:rPr>
          <w:rFonts w:ascii="Arial" w:hAnsi="Arial" w:cs="Arial"/>
          <w:b/>
          <w:color w:val="000000" w:themeColor="text1"/>
        </w:rPr>
        <w:t>5</w:t>
      </w:r>
      <w:r w:rsidRPr="004A61FB">
        <w:rPr>
          <w:rFonts w:ascii="Arial" w:hAnsi="Arial" w:cs="Arial"/>
          <w:b/>
          <w:color w:val="000000" w:themeColor="text1"/>
        </w:rPr>
        <w:t xml:space="preserve">. Gene Set Enrichment Analysis (GSEA) pathways are altered in CVS samples from preeclamptic pregnancies. </w:t>
      </w:r>
      <w:r w:rsidRPr="004A61FB">
        <w:rPr>
          <w:rFonts w:ascii="Arial" w:hAnsi="Arial" w:cs="Arial"/>
          <w:color w:val="000000" w:themeColor="text1"/>
        </w:rPr>
        <w:t>mRNA-seq analysis of CVS</w:t>
      </w:r>
      <w:r w:rsidRPr="004A61FB">
        <w:rPr>
          <w:rFonts w:ascii="Arial" w:hAnsi="Arial" w:cs="Arial"/>
          <w:bCs/>
          <w:color w:val="000000" w:themeColor="text1"/>
        </w:rPr>
        <w:t xml:space="preserve"> samples from PE pregnancies </w:t>
      </w:r>
      <w:r w:rsidRPr="004A61FB">
        <w:rPr>
          <w:rFonts w:ascii="Arial" w:eastAsia="MS Mincho" w:hAnsi="Arial" w:cs="Arial"/>
          <w:color w:val="000000" w:themeColor="text1"/>
        </w:rPr>
        <w:t xml:space="preserve">(n=2, PE and PE-SF) and </w:t>
      </w:r>
      <w:r w:rsidRPr="004A61FB">
        <w:rPr>
          <w:rFonts w:ascii="Arial" w:hAnsi="Arial" w:cs="Arial"/>
          <w:bCs/>
          <w:color w:val="000000" w:themeColor="text1"/>
        </w:rPr>
        <w:t xml:space="preserve">healthy pregnancies </w:t>
      </w:r>
      <w:r w:rsidRPr="004A61FB">
        <w:rPr>
          <w:rFonts w:ascii="Arial" w:eastAsia="MS Mincho" w:hAnsi="Arial" w:cs="Arial"/>
          <w:color w:val="000000" w:themeColor="text1"/>
        </w:rPr>
        <w:t>(n=4, H1-H4)</w:t>
      </w:r>
      <w:r w:rsidRPr="004A61FB">
        <w:rPr>
          <w:rFonts w:ascii="Arial" w:hAnsi="Arial" w:cs="Arial"/>
          <w:bCs/>
          <w:color w:val="000000" w:themeColor="text1"/>
        </w:rPr>
        <w:t xml:space="preserve"> </w:t>
      </w:r>
      <w:r w:rsidRPr="004A61FB">
        <w:rPr>
          <w:rFonts w:ascii="Arial" w:hAnsi="Arial" w:cs="Arial"/>
          <w:color w:val="000000" w:themeColor="text1"/>
        </w:rPr>
        <w:t xml:space="preserve">was used to determine GSEA hallmark pathways. </w:t>
      </w:r>
      <w:r w:rsidRPr="004A61FB">
        <w:rPr>
          <w:rFonts w:ascii="Arial" w:hAnsi="Arial" w:cs="Arial"/>
          <w:color w:val="000000" w:themeColor="text1"/>
          <w:bdr w:val="none" w:sz="0" w:space="0" w:color="auto" w:frame="1"/>
        </w:rPr>
        <w:t xml:space="preserve">Enrichment score represents </w:t>
      </w:r>
      <w:r w:rsidRPr="004A61FB">
        <w:rPr>
          <w:rFonts w:ascii="Arial" w:hAnsi="Arial" w:cs="Arial"/>
          <w:color w:val="000000" w:themeColor="text1"/>
          <w:bdr w:val="none" w:sz="0" w:space="0" w:color="auto" w:frame="1"/>
        </w:rPr>
        <w:lastRenderedPageBreak/>
        <w:t xml:space="preserve">upregulation or downregulation as a sum of the genes in the pathway, as compared from the CVS in PE pregnancies to the CVS in healthy pregnancies. Blue bars represent a significantly altered pathway based on </w:t>
      </w:r>
      <w:proofErr w:type="spellStart"/>
      <w:r w:rsidRPr="004A61FB">
        <w:rPr>
          <w:rFonts w:ascii="Arial" w:hAnsi="Arial" w:cs="Arial"/>
          <w:color w:val="000000" w:themeColor="text1"/>
          <w:bdr w:val="none" w:sz="0" w:space="0" w:color="auto" w:frame="1"/>
        </w:rPr>
        <w:t>padj</w:t>
      </w:r>
      <w:proofErr w:type="spellEnd"/>
      <w:r w:rsidRPr="004A61FB">
        <w:rPr>
          <w:rFonts w:ascii="Arial" w:hAnsi="Arial" w:cs="Arial"/>
          <w:color w:val="000000" w:themeColor="text1"/>
          <w:bdr w:val="none" w:sz="0" w:space="0" w:color="auto" w:frame="1"/>
        </w:rPr>
        <w:t xml:space="preserve">&lt;0.05. Orange bars represent a nonsignificant pathway based on </w:t>
      </w:r>
      <w:proofErr w:type="spellStart"/>
      <w:r w:rsidRPr="004A61FB">
        <w:rPr>
          <w:rFonts w:ascii="Arial" w:hAnsi="Arial" w:cs="Arial"/>
          <w:color w:val="000000" w:themeColor="text1"/>
          <w:bdr w:val="none" w:sz="0" w:space="0" w:color="auto" w:frame="1"/>
        </w:rPr>
        <w:t>padj</w:t>
      </w:r>
      <w:proofErr w:type="spellEnd"/>
      <w:r w:rsidRPr="004A61FB">
        <w:rPr>
          <w:rFonts w:ascii="Arial" w:hAnsi="Arial" w:cs="Arial"/>
          <w:color w:val="000000" w:themeColor="text1"/>
          <w:bdr w:val="none" w:sz="0" w:space="0" w:color="auto" w:frame="1"/>
        </w:rPr>
        <w:t xml:space="preserve">&lt;0.05.  </w:t>
      </w:r>
    </w:p>
    <w:p w14:paraId="3B0F6470" w14:textId="77777777" w:rsidR="004A61FB" w:rsidRPr="004A61FB" w:rsidRDefault="004A61FB" w:rsidP="004A61FB">
      <w:pPr>
        <w:spacing w:line="480" w:lineRule="auto"/>
        <w:jc w:val="both"/>
        <w:rPr>
          <w:rFonts w:ascii="Arial" w:hAnsi="Arial" w:cs="Arial"/>
        </w:rPr>
      </w:pPr>
    </w:p>
    <w:p w14:paraId="2E5F0DAF" w14:textId="60CEEFEB" w:rsidR="00076501" w:rsidRPr="004A61FB" w:rsidRDefault="00B13741" w:rsidP="001B6C17">
      <w:pPr>
        <w:spacing w:line="480" w:lineRule="auto"/>
        <w:jc w:val="both"/>
        <w:rPr>
          <w:rFonts w:ascii="Arial" w:hAnsi="Arial" w:cs="Arial"/>
          <w:b/>
          <w:color w:val="000000" w:themeColor="text1"/>
        </w:rPr>
      </w:pPr>
      <w:r w:rsidRPr="004A61FB">
        <w:rPr>
          <w:rFonts w:ascii="Arial" w:hAnsi="Arial" w:cs="Arial"/>
          <w:b/>
          <w:bCs/>
          <w:color w:val="000000" w:themeColor="text1"/>
        </w:rPr>
        <w:t>Supplementary Figure 6.</w:t>
      </w:r>
      <w:r w:rsidRPr="004A61FB">
        <w:rPr>
          <w:rFonts w:ascii="Arial" w:hAnsi="Arial" w:cs="Arial"/>
          <w:b/>
          <w:bCs/>
          <w:color w:val="000000" w:themeColor="text1"/>
          <w:kern w:val="24"/>
        </w:rPr>
        <w:t xml:space="preserve"> </w:t>
      </w:r>
      <w:r w:rsidRPr="004A61FB">
        <w:rPr>
          <w:rFonts w:ascii="Arial" w:hAnsi="Arial" w:cs="Arial"/>
          <w:b/>
          <w:bCs/>
          <w:color w:val="000000" w:themeColor="text1"/>
        </w:rPr>
        <w:t>Expression of Notch pathway genes did not differ significantly in CVS from PE and healthy pregnancies. (A)</w:t>
      </w:r>
      <w:r w:rsidRPr="004A61FB">
        <w:rPr>
          <w:rFonts w:ascii="Arial" w:hAnsi="Arial" w:cs="Arial"/>
          <w:color w:val="000000" w:themeColor="text1"/>
        </w:rPr>
        <w:t xml:space="preserve"> Normalized hit counts from DESeq2 output were utilized to detect Notch family gene expression. Expression of receptors </w:t>
      </w:r>
      <w:r w:rsidRPr="004A61FB">
        <w:rPr>
          <w:rFonts w:ascii="Arial" w:hAnsi="Arial" w:cs="Arial"/>
          <w:b/>
          <w:bCs/>
          <w:color w:val="000000" w:themeColor="text1"/>
        </w:rPr>
        <w:t>(A)</w:t>
      </w:r>
      <w:r w:rsidRPr="004A61FB">
        <w:rPr>
          <w:rFonts w:ascii="Arial" w:hAnsi="Arial" w:cs="Arial"/>
          <w:color w:val="000000" w:themeColor="text1"/>
        </w:rPr>
        <w:t>,</w:t>
      </w:r>
      <w:r w:rsidRPr="004A61FB">
        <w:rPr>
          <w:rFonts w:ascii="Arial" w:hAnsi="Arial" w:cs="Arial"/>
          <w:i/>
          <w:color w:val="000000" w:themeColor="text1"/>
        </w:rPr>
        <w:t xml:space="preserve"> NOTCH1 (N1)</w:t>
      </w:r>
      <w:r w:rsidRPr="004A61FB">
        <w:rPr>
          <w:rFonts w:ascii="Arial" w:hAnsi="Arial" w:cs="Arial"/>
          <w:color w:val="000000" w:themeColor="text1"/>
        </w:rPr>
        <w:t xml:space="preserve">, </w:t>
      </w:r>
      <w:r w:rsidRPr="004A61FB">
        <w:rPr>
          <w:rFonts w:ascii="Arial" w:hAnsi="Arial" w:cs="Arial"/>
          <w:i/>
          <w:color w:val="000000" w:themeColor="text1"/>
        </w:rPr>
        <w:t>NOTCH2 (N2)</w:t>
      </w:r>
      <w:r w:rsidRPr="004A61FB">
        <w:rPr>
          <w:rFonts w:ascii="Arial" w:hAnsi="Arial" w:cs="Arial"/>
          <w:color w:val="000000" w:themeColor="text1"/>
        </w:rPr>
        <w:t xml:space="preserve">, </w:t>
      </w:r>
      <w:r w:rsidRPr="004A61FB">
        <w:rPr>
          <w:rFonts w:ascii="Arial" w:hAnsi="Arial" w:cs="Arial"/>
          <w:i/>
          <w:color w:val="000000" w:themeColor="text1"/>
        </w:rPr>
        <w:t xml:space="preserve">NOTCH3 (N3) </w:t>
      </w:r>
      <w:r w:rsidRPr="004A61FB">
        <w:rPr>
          <w:rFonts w:ascii="Arial" w:hAnsi="Arial" w:cs="Arial"/>
          <w:color w:val="000000" w:themeColor="text1"/>
        </w:rPr>
        <w:t xml:space="preserve">and </w:t>
      </w:r>
      <w:r w:rsidRPr="004A61FB">
        <w:rPr>
          <w:rFonts w:ascii="Arial" w:hAnsi="Arial" w:cs="Arial"/>
          <w:i/>
          <w:color w:val="000000" w:themeColor="text1"/>
        </w:rPr>
        <w:t xml:space="preserve">NOTCH4 (N4); </w:t>
      </w:r>
      <w:r w:rsidRPr="004A61FB">
        <w:rPr>
          <w:rFonts w:ascii="Arial" w:hAnsi="Arial" w:cs="Arial"/>
          <w:color w:val="000000" w:themeColor="text1"/>
        </w:rPr>
        <w:t xml:space="preserve">ligands </w:t>
      </w:r>
      <w:r w:rsidRPr="004A61FB">
        <w:rPr>
          <w:rFonts w:ascii="Arial" w:hAnsi="Arial" w:cs="Arial"/>
          <w:b/>
          <w:bCs/>
          <w:color w:val="000000" w:themeColor="text1"/>
        </w:rPr>
        <w:t>(B)</w:t>
      </w:r>
      <w:r w:rsidRPr="004A61FB">
        <w:rPr>
          <w:rFonts w:ascii="Arial" w:hAnsi="Arial" w:cs="Arial"/>
          <w:color w:val="000000" w:themeColor="text1"/>
        </w:rPr>
        <w:t xml:space="preserve">, </w:t>
      </w:r>
      <w:r w:rsidRPr="004A61FB">
        <w:rPr>
          <w:rFonts w:ascii="Arial" w:hAnsi="Arial" w:cs="Arial"/>
          <w:i/>
          <w:color w:val="000000" w:themeColor="text1"/>
        </w:rPr>
        <w:t>DLL4</w:t>
      </w:r>
      <w:r w:rsidRPr="004A61FB">
        <w:rPr>
          <w:rFonts w:ascii="Arial" w:hAnsi="Arial" w:cs="Arial"/>
          <w:color w:val="000000" w:themeColor="text1"/>
        </w:rPr>
        <w:t xml:space="preserve">, </w:t>
      </w:r>
      <w:r w:rsidRPr="004A61FB">
        <w:rPr>
          <w:rFonts w:ascii="Arial" w:hAnsi="Arial" w:cs="Arial"/>
          <w:i/>
          <w:color w:val="000000" w:themeColor="text1"/>
        </w:rPr>
        <w:t>JAG1</w:t>
      </w:r>
      <w:r w:rsidRPr="004A61FB">
        <w:rPr>
          <w:rFonts w:ascii="Arial" w:hAnsi="Arial" w:cs="Arial"/>
          <w:color w:val="000000" w:themeColor="text1"/>
        </w:rPr>
        <w:t xml:space="preserve"> and </w:t>
      </w:r>
      <w:r w:rsidRPr="004A61FB">
        <w:rPr>
          <w:rFonts w:ascii="Arial" w:hAnsi="Arial" w:cs="Arial"/>
          <w:i/>
          <w:color w:val="000000" w:themeColor="text1"/>
        </w:rPr>
        <w:t>JAG2</w:t>
      </w:r>
      <w:r w:rsidRPr="004A61FB">
        <w:rPr>
          <w:rFonts w:ascii="Arial" w:hAnsi="Arial" w:cs="Arial"/>
          <w:iCs/>
          <w:color w:val="000000" w:themeColor="text1"/>
        </w:rPr>
        <w:t>;</w:t>
      </w:r>
      <w:r w:rsidRPr="004A61FB">
        <w:rPr>
          <w:rFonts w:ascii="Arial" w:hAnsi="Arial" w:cs="Arial"/>
          <w:i/>
          <w:color w:val="000000" w:themeColor="text1"/>
        </w:rPr>
        <w:t xml:space="preserve"> </w:t>
      </w:r>
      <w:r w:rsidRPr="004A61FB">
        <w:rPr>
          <w:rFonts w:ascii="Arial" w:hAnsi="Arial" w:cs="Arial"/>
          <w:color w:val="000000" w:themeColor="text1"/>
        </w:rPr>
        <w:t xml:space="preserve">and effectors </w:t>
      </w:r>
      <w:r w:rsidRPr="004A61FB">
        <w:rPr>
          <w:rFonts w:ascii="Arial" w:hAnsi="Arial" w:cs="Arial"/>
          <w:b/>
          <w:bCs/>
          <w:color w:val="000000" w:themeColor="text1"/>
        </w:rPr>
        <w:t>(C)</w:t>
      </w:r>
      <w:r w:rsidRPr="004A61FB">
        <w:rPr>
          <w:rFonts w:ascii="Arial" w:hAnsi="Arial" w:cs="Arial"/>
          <w:color w:val="000000" w:themeColor="text1"/>
        </w:rPr>
        <w:t>,</w:t>
      </w:r>
      <w:r w:rsidRPr="004A61FB">
        <w:rPr>
          <w:rFonts w:ascii="Arial" w:hAnsi="Arial" w:cs="Arial"/>
          <w:i/>
          <w:color w:val="000000" w:themeColor="text1"/>
        </w:rPr>
        <w:t xml:space="preserve"> HES1</w:t>
      </w:r>
      <w:r w:rsidRPr="004A61FB">
        <w:rPr>
          <w:rFonts w:ascii="Arial" w:hAnsi="Arial" w:cs="Arial"/>
          <w:color w:val="000000" w:themeColor="text1"/>
        </w:rPr>
        <w:t xml:space="preserve">, </w:t>
      </w:r>
      <w:r w:rsidRPr="004A61FB">
        <w:rPr>
          <w:rFonts w:ascii="Arial" w:hAnsi="Arial" w:cs="Arial"/>
          <w:i/>
          <w:color w:val="000000" w:themeColor="text1"/>
        </w:rPr>
        <w:t>HEY1</w:t>
      </w:r>
      <w:r w:rsidRPr="004A61FB">
        <w:rPr>
          <w:rFonts w:ascii="Arial" w:hAnsi="Arial" w:cs="Arial"/>
          <w:color w:val="000000" w:themeColor="text1"/>
        </w:rPr>
        <w:t xml:space="preserve"> and </w:t>
      </w:r>
      <w:r w:rsidRPr="004A61FB">
        <w:rPr>
          <w:rFonts w:ascii="Arial" w:hAnsi="Arial" w:cs="Arial"/>
          <w:i/>
          <w:color w:val="000000" w:themeColor="text1"/>
        </w:rPr>
        <w:t xml:space="preserve">HEY2 </w:t>
      </w:r>
      <w:r w:rsidRPr="004A61FB">
        <w:rPr>
          <w:rFonts w:ascii="Arial" w:hAnsi="Arial" w:cs="Arial"/>
          <w:iCs/>
          <w:color w:val="000000" w:themeColor="text1"/>
        </w:rPr>
        <w:t xml:space="preserve">in CVS samples from healthy, uncomplicated pregnancies is shown. </w:t>
      </w:r>
      <w:r w:rsidRPr="004A61FB">
        <w:rPr>
          <w:rFonts w:ascii="Arial" w:hAnsi="Arial" w:cs="Arial"/>
          <w:i/>
          <w:color w:val="000000" w:themeColor="text1"/>
        </w:rPr>
        <w:t>NOTCH2</w:t>
      </w:r>
      <w:r w:rsidRPr="004A61FB">
        <w:rPr>
          <w:rFonts w:ascii="Arial" w:hAnsi="Arial" w:cs="Arial"/>
          <w:color w:val="000000" w:themeColor="text1"/>
        </w:rPr>
        <w:t xml:space="preserve"> and </w:t>
      </w:r>
      <w:r w:rsidRPr="004A61FB">
        <w:rPr>
          <w:rFonts w:ascii="Arial" w:hAnsi="Arial" w:cs="Arial"/>
          <w:i/>
          <w:color w:val="000000" w:themeColor="text1"/>
        </w:rPr>
        <w:t xml:space="preserve">NOTCH3 </w:t>
      </w:r>
      <w:r w:rsidRPr="004A61FB">
        <w:rPr>
          <w:rFonts w:ascii="Arial" w:hAnsi="Arial" w:cs="Arial"/>
          <w:iCs/>
          <w:color w:val="000000" w:themeColor="text1"/>
        </w:rPr>
        <w:t>were the most abundantly expressed receptors</w:t>
      </w:r>
      <w:r w:rsidRPr="004A61FB">
        <w:rPr>
          <w:rFonts w:ascii="Arial" w:hAnsi="Arial" w:cs="Arial"/>
          <w:i/>
          <w:color w:val="000000" w:themeColor="text1"/>
        </w:rPr>
        <w:t xml:space="preserve">. JAG1 </w:t>
      </w:r>
      <w:r w:rsidRPr="004A61FB">
        <w:rPr>
          <w:rFonts w:ascii="Arial" w:hAnsi="Arial" w:cs="Arial"/>
          <w:iCs/>
          <w:color w:val="000000" w:themeColor="text1"/>
        </w:rPr>
        <w:t xml:space="preserve">was the most the abundantly expressed ligand and </w:t>
      </w:r>
      <w:r w:rsidRPr="004A61FB">
        <w:rPr>
          <w:rFonts w:ascii="Arial" w:hAnsi="Arial" w:cs="Arial"/>
          <w:i/>
          <w:color w:val="000000" w:themeColor="text1"/>
        </w:rPr>
        <w:t>HES1</w:t>
      </w:r>
      <w:r w:rsidRPr="004A61FB">
        <w:rPr>
          <w:rFonts w:ascii="Arial" w:hAnsi="Arial" w:cs="Arial"/>
          <w:iCs/>
          <w:color w:val="000000" w:themeColor="text1"/>
        </w:rPr>
        <w:t xml:space="preserve"> was the most the abundantly expressed Notch pathway effector in CVS samples. </w:t>
      </w:r>
      <w:r w:rsidRPr="004A61FB">
        <w:rPr>
          <w:rFonts w:ascii="Arial" w:hAnsi="Arial" w:cs="Arial"/>
          <w:b/>
          <w:bCs/>
          <w:color w:val="000000" w:themeColor="text1"/>
        </w:rPr>
        <w:t>(B)</w:t>
      </w:r>
      <w:r w:rsidRPr="004A61FB">
        <w:rPr>
          <w:rFonts w:ascii="Arial" w:hAnsi="Arial" w:cs="Arial"/>
          <w:color w:val="000000" w:themeColor="text1"/>
        </w:rPr>
        <w:t xml:space="preserve"> To visualize the differences in canonical Notch pathway genes, we compared the expression in CVS samples between preeclamptic and healthy pregnancies.</w:t>
      </w:r>
      <w:r w:rsidRPr="004A61FB">
        <w:rPr>
          <w:rFonts w:ascii="Arial" w:eastAsia="MS Mincho" w:hAnsi="Arial" w:cs="Arial"/>
          <w:color w:val="000000" w:themeColor="text1"/>
        </w:rPr>
        <w:t xml:space="preserve"> Expression of NOTCH1, NOTCH2, and JAG1 is consistently lower in the PE and PE-SF CVS samples (green asterisks). Expression of NOTCH3 is consistently low in the PE-SF CVS samples (red asterisk).</w:t>
      </w:r>
      <w:r w:rsidRPr="004A61FB">
        <w:rPr>
          <w:rFonts w:ascii="Arial" w:hAnsi="Arial" w:cs="Arial"/>
          <w:color w:val="000000" w:themeColor="text1"/>
        </w:rPr>
        <w:t xml:space="preserve"> No gene expression changes were significantly different</w:t>
      </w:r>
      <w:r w:rsidRPr="004A61FB">
        <w:rPr>
          <w:rFonts w:ascii="Arial" w:eastAsia="MS Mincho" w:hAnsi="Arial" w:cs="Arial"/>
          <w:color w:val="000000" w:themeColor="text1"/>
        </w:rPr>
        <w:t xml:space="preserve"> with FDR </w:t>
      </w:r>
      <w:r w:rsidRPr="004A61FB">
        <w:rPr>
          <w:rFonts w:ascii="Arial" w:eastAsia="MS Mincho" w:hAnsi="Arial" w:cs="Arial"/>
          <w:i/>
          <w:iCs/>
          <w:color w:val="000000" w:themeColor="text1"/>
        </w:rPr>
        <w:t>p</w:t>
      </w:r>
      <w:r w:rsidRPr="004A61FB">
        <w:rPr>
          <w:rFonts w:ascii="Arial" w:eastAsia="MS Mincho" w:hAnsi="Arial" w:cs="Arial"/>
          <w:color w:val="000000" w:themeColor="text1"/>
        </w:rPr>
        <w:t>-value &lt; 0.05.</w:t>
      </w:r>
    </w:p>
    <w:sectPr w:rsidR="00076501" w:rsidRPr="004A61FB" w:rsidSect="003A71E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1694B5" w14:textId="77777777" w:rsidR="00944E19" w:rsidRDefault="00944E19" w:rsidP="00316052">
      <w:r>
        <w:separator/>
      </w:r>
    </w:p>
  </w:endnote>
  <w:endnote w:type="continuationSeparator" w:id="0">
    <w:p w14:paraId="16C83472" w14:textId="77777777" w:rsidR="00944E19" w:rsidRDefault="00944E19" w:rsidP="00316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68161992"/>
      <w:docPartObj>
        <w:docPartGallery w:val="Page Numbers (Bottom of Page)"/>
        <w:docPartUnique/>
      </w:docPartObj>
    </w:sdtPr>
    <w:sdtEndPr>
      <w:rPr>
        <w:rStyle w:val="PageNumber"/>
      </w:rPr>
    </w:sdtEndPr>
    <w:sdtContent>
      <w:p w14:paraId="6331864C" w14:textId="7C7BF663" w:rsidR="00316052" w:rsidRDefault="00316052" w:rsidP="00A91B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FC17FF" w14:textId="77777777" w:rsidR="00316052" w:rsidRDefault="00316052" w:rsidP="003160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67025873"/>
      <w:docPartObj>
        <w:docPartGallery w:val="Page Numbers (Bottom of Page)"/>
        <w:docPartUnique/>
      </w:docPartObj>
    </w:sdtPr>
    <w:sdtEndPr>
      <w:rPr>
        <w:rStyle w:val="PageNumber"/>
      </w:rPr>
    </w:sdtEndPr>
    <w:sdtContent>
      <w:p w14:paraId="7A75873D" w14:textId="33005189" w:rsidR="00316052" w:rsidRDefault="00316052" w:rsidP="00A91B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0D0B40" w14:textId="77777777" w:rsidR="00316052" w:rsidRDefault="00316052" w:rsidP="003160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6E67B5" w14:textId="77777777" w:rsidR="00944E19" w:rsidRDefault="00944E19" w:rsidP="00316052">
      <w:r>
        <w:separator/>
      </w:r>
    </w:p>
  </w:footnote>
  <w:footnote w:type="continuationSeparator" w:id="0">
    <w:p w14:paraId="58C82E4C" w14:textId="77777777" w:rsidR="00944E19" w:rsidRDefault="00944E19" w:rsidP="003160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4C4"/>
    <w:rsid w:val="00001D4B"/>
    <w:rsid w:val="0001378B"/>
    <w:rsid w:val="00015352"/>
    <w:rsid w:val="00017171"/>
    <w:rsid w:val="00021414"/>
    <w:rsid w:val="000323E7"/>
    <w:rsid w:val="00036520"/>
    <w:rsid w:val="00047F5A"/>
    <w:rsid w:val="000517B8"/>
    <w:rsid w:val="000604DB"/>
    <w:rsid w:val="00062BE3"/>
    <w:rsid w:val="00063C3B"/>
    <w:rsid w:val="00067CCF"/>
    <w:rsid w:val="000759C9"/>
    <w:rsid w:val="00076501"/>
    <w:rsid w:val="000816B0"/>
    <w:rsid w:val="0008419D"/>
    <w:rsid w:val="00084C1E"/>
    <w:rsid w:val="000915D2"/>
    <w:rsid w:val="000960CA"/>
    <w:rsid w:val="00096EBF"/>
    <w:rsid w:val="000A0ACC"/>
    <w:rsid w:val="000A30FD"/>
    <w:rsid w:val="000A483E"/>
    <w:rsid w:val="000C6BF6"/>
    <w:rsid w:val="000C7D0B"/>
    <w:rsid w:val="000D03B9"/>
    <w:rsid w:val="000D0DE1"/>
    <w:rsid w:val="000D7D67"/>
    <w:rsid w:val="000E3FBD"/>
    <w:rsid w:val="000E51A4"/>
    <w:rsid w:val="000E7F96"/>
    <w:rsid w:val="000F6B7C"/>
    <w:rsid w:val="000F7D83"/>
    <w:rsid w:val="00100DF2"/>
    <w:rsid w:val="00105A17"/>
    <w:rsid w:val="0010638A"/>
    <w:rsid w:val="001079C2"/>
    <w:rsid w:val="00110465"/>
    <w:rsid w:val="0011655C"/>
    <w:rsid w:val="00121780"/>
    <w:rsid w:val="00127918"/>
    <w:rsid w:val="00130297"/>
    <w:rsid w:val="001302F1"/>
    <w:rsid w:val="0013122E"/>
    <w:rsid w:val="00134A06"/>
    <w:rsid w:val="00135303"/>
    <w:rsid w:val="00137E15"/>
    <w:rsid w:val="001416DE"/>
    <w:rsid w:val="00142D36"/>
    <w:rsid w:val="00151CC5"/>
    <w:rsid w:val="00152937"/>
    <w:rsid w:val="0015331D"/>
    <w:rsid w:val="0015692D"/>
    <w:rsid w:val="001624C9"/>
    <w:rsid w:val="001648AB"/>
    <w:rsid w:val="00165698"/>
    <w:rsid w:val="00165955"/>
    <w:rsid w:val="00165E4D"/>
    <w:rsid w:val="0016634C"/>
    <w:rsid w:val="001725C3"/>
    <w:rsid w:val="00175F59"/>
    <w:rsid w:val="00176805"/>
    <w:rsid w:val="00176F5D"/>
    <w:rsid w:val="0018226E"/>
    <w:rsid w:val="00183346"/>
    <w:rsid w:val="00183409"/>
    <w:rsid w:val="0018472A"/>
    <w:rsid w:val="0018663A"/>
    <w:rsid w:val="00187324"/>
    <w:rsid w:val="001918F9"/>
    <w:rsid w:val="0019553C"/>
    <w:rsid w:val="001969CA"/>
    <w:rsid w:val="001970B5"/>
    <w:rsid w:val="001B3610"/>
    <w:rsid w:val="001B44C4"/>
    <w:rsid w:val="001B53CB"/>
    <w:rsid w:val="001B6ABA"/>
    <w:rsid w:val="001B6C17"/>
    <w:rsid w:val="001B7C39"/>
    <w:rsid w:val="001C2240"/>
    <w:rsid w:val="001C6505"/>
    <w:rsid w:val="001D21F7"/>
    <w:rsid w:val="001D3052"/>
    <w:rsid w:val="001D6302"/>
    <w:rsid w:val="001E6C11"/>
    <w:rsid w:val="001E6DE0"/>
    <w:rsid w:val="001F3423"/>
    <w:rsid w:val="001F7F84"/>
    <w:rsid w:val="00200630"/>
    <w:rsid w:val="00202E2E"/>
    <w:rsid w:val="00205107"/>
    <w:rsid w:val="0020555B"/>
    <w:rsid w:val="00212FE7"/>
    <w:rsid w:val="002134A1"/>
    <w:rsid w:val="002245C1"/>
    <w:rsid w:val="00226C09"/>
    <w:rsid w:val="002322EC"/>
    <w:rsid w:val="0023647D"/>
    <w:rsid w:val="00237400"/>
    <w:rsid w:val="00241905"/>
    <w:rsid w:val="002459C0"/>
    <w:rsid w:val="00245DD9"/>
    <w:rsid w:val="00260CC9"/>
    <w:rsid w:val="00266628"/>
    <w:rsid w:val="002730F3"/>
    <w:rsid w:val="0027779B"/>
    <w:rsid w:val="00277908"/>
    <w:rsid w:val="00284373"/>
    <w:rsid w:val="002973BA"/>
    <w:rsid w:val="002A4C1E"/>
    <w:rsid w:val="002A5225"/>
    <w:rsid w:val="002A5509"/>
    <w:rsid w:val="002B5A0B"/>
    <w:rsid w:val="002B5E79"/>
    <w:rsid w:val="002C4CE3"/>
    <w:rsid w:val="002D3E05"/>
    <w:rsid w:val="002E70B9"/>
    <w:rsid w:val="002F3BB8"/>
    <w:rsid w:val="002F607A"/>
    <w:rsid w:val="00300080"/>
    <w:rsid w:val="003053EA"/>
    <w:rsid w:val="003063A5"/>
    <w:rsid w:val="0031130C"/>
    <w:rsid w:val="003131A6"/>
    <w:rsid w:val="00313B71"/>
    <w:rsid w:val="00316052"/>
    <w:rsid w:val="00316965"/>
    <w:rsid w:val="00324ADA"/>
    <w:rsid w:val="0033673B"/>
    <w:rsid w:val="003444BE"/>
    <w:rsid w:val="003463C1"/>
    <w:rsid w:val="00357A0D"/>
    <w:rsid w:val="00357E25"/>
    <w:rsid w:val="00362939"/>
    <w:rsid w:val="00366F52"/>
    <w:rsid w:val="00371A65"/>
    <w:rsid w:val="00376B00"/>
    <w:rsid w:val="00377832"/>
    <w:rsid w:val="00377869"/>
    <w:rsid w:val="00381F9C"/>
    <w:rsid w:val="00382045"/>
    <w:rsid w:val="003821F7"/>
    <w:rsid w:val="003870BE"/>
    <w:rsid w:val="00397E3D"/>
    <w:rsid w:val="003A241B"/>
    <w:rsid w:val="003A3377"/>
    <w:rsid w:val="003A40DE"/>
    <w:rsid w:val="003A6041"/>
    <w:rsid w:val="003A71EF"/>
    <w:rsid w:val="003A782F"/>
    <w:rsid w:val="003B1260"/>
    <w:rsid w:val="003B451D"/>
    <w:rsid w:val="003B5148"/>
    <w:rsid w:val="003B6A2A"/>
    <w:rsid w:val="003C3C80"/>
    <w:rsid w:val="003C6CAE"/>
    <w:rsid w:val="003C7A3D"/>
    <w:rsid w:val="003D066D"/>
    <w:rsid w:val="003D12CB"/>
    <w:rsid w:val="003D17E6"/>
    <w:rsid w:val="003E137F"/>
    <w:rsid w:val="003E1AE3"/>
    <w:rsid w:val="003E1B41"/>
    <w:rsid w:val="003E64E6"/>
    <w:rsid w:val="003F3F3C"/>
    <w:rsid w:val="003F601E"/>
    <w:rsid w:val="00407DE3"/>
    <w:rsid w:val="00411FCB"/>
    <w:rsid w:val="004166D4"/>
    <w:rsid w:val="0041756F"/>
    <w:rsid w:val="00422FCF"/>
    <w:rsid w:val="00423BCE"/>
    <w:rsid w:val="00427BEB"/>
    <w:rsid w:val="00436102"/>
    <w:rsid w:val="00441153"/>
    <w:rsid w:val="00443DAF"/>
    <w:rsid w:val="00451261"/>
    <w:rsid w:val="00455DA5"/>
    <w:rsid w:val="0046167D"/>
    <w:rsid w:val="004639B3"/>
    <w:rsid w:val="0047652E"/>
    <w:rsid w:val="004776F2"/>
    <w:rsid w:val="00480041"/>
    <w:rsid w:val="00483484"/>
    <w:rsid w:val="0048439D"/>
    <w:rsid w:val="0049141D"/>
    <w:rsid w:val="00492D78"/>
    <w:rsid w:val="0049310F"/>
    <w:rsid w:val="00493E4D"/>
    <w:rsid w:val="00494834"/>
    <w:rsid w:val="00496567"/>
    <w:rsid w:val="004A27F1"/>
    <w:rsid w:val="004A2D70"/>
    <w:rsid w:val="004A61FB"/>
    <w:rsid w:val="004B0F4E"/>
    <w:rsid w:val="004B1E32"/>
    <w:rsid w:val="004B2634"/>
    <w:rsid w:val="004B3ADA"/>
    <w:rsid w:val="004B4C37"/>
    <w:rsid w:val="004B5ED6"/>
    <w:rsid w:val="004C2BC1"/>
    <w:rsid w:val="004C5093"/>
    <w:rsid w:val="004C5861"/>
    <w:rsid w:val="004D25B5"/>
    <w:rsid w:val="004D28BC"/>
    <w:rsid w:val="004D319C"/>
    <w:rsid w:val="004E3709"/>
    <w:rsid w:val="004E4EE2"/>
    <w:rsid w:val="004E6581"/>
    <w:rsid w:val="004E7EB1"/>
    <w:rsid w:val="004F1EEF"/>
    <w:rsid w:val="004F2CAA"/>
    <w:rsid w:val="004F4A5F"/>
    <w:rsid w:val="00513064"/>
    <w:rsid w:val="00520C06"/>
    <w:rsid w:val="00522102"/>
    <w:rsid w:val="0052311E"/>
    <w:rsid w:val="00525AED"/>
    <w:rsid w:val="0052647E"/>
    <w:rsid w:val="00533DAB"/>
    <w:rsid w:val="00541A08"/>
    <w:rsid w:val="0054351A"/>
    <w:rsid w:val="00545DB7"/>
    <w:rsid w:val="005502D7"/>
    <w:rsid w:val="00556A94"/>
    <w:rsid w:val="0056142A"/>
    <w:rsid w:val="00562E41"/>
    <w:rsid w:val="005714FF"/>
    <w:rsid w:val="00574BDA"/>
    <w:rsid w:val="0057692A"/>
    <w:rsid w:val="00577FD5"/>
    <w:rsid w:val="00582227"/>
    <w:rsid w:val="00583102"/>
    <w:rsid w:val="0058534A"/>
    <w:rsid w:val="00585E93"/>
    <w:rsid w:val="00591A2C"/>
    <w:rsid w:val="00592CF5"/>
    <w:rsid w:val="005A285B"/>
    <w:rsid w:val="005A4515"/>
    <w:rsid w:val="005A45FF"/>
    <w:rsid w:val="005A6AB7"/>
    <w:rsid w:val="005B3B54"/>
    <w:rsid w:val="005B466C"/>
    <w:rsid w:val="005C3C89"/>
    <w:rsid w:val="005C7A27"/>
    <w:rsid w:val="005C7E6C"/>
    <w:rsid w:val="005D248D"/>
    <w:rsid w:val="005D3849"/>
    <w:rsid w:val="005D41E5"/>
    <w:rsid w:val="005D5A35"/>
    <w:rsid w:val="005F3855"/>
    <w:rsid w:val="005F4C43"/>
    <w:rsid w:val="005F7924"/>
    <w:rsid w:val="006033DC"/>
    <w:rsid w:val="006064E9"/>
    <w:rsid w:val="006208D8"/>
    <w:rsid w:val="006251C1"/>
    <w:rsid w:val="006254D4"/>
    <w:rsid w:val="00627665"/>
    <w:rsid w:val="0063645F"/>
    <w:rsid w:val="006408A6"/>
    <w:rsid w:val="00656125"/>
    <w:rsid w:val="006623AE"/>
    <w:rsid w:val="00673E5F"/>
    <w:rsid w:val="00675923"/>
    <w:rsid w:val="00675FBB"/>
    <w:rsid w:val="00680A08"/>
    <w:rsid w:val="00680F95"/>
    <w:rsid w:val="00695720"/>
    <w:rsid w:val="006A2395"/>
    <w:rsid w:val="006A5B84"/>
    <w:rsid w:val="006A6E33"/>
    <w:rsid w:val="006B3416"/>
    <w:rsid w:val="006B3AEB"/>
    <w:rsid w:val="006C1EC2"/>
    <w:rsid w:val="006C301A"/>
    <w:rsid w:val="006C4B3F"/>
    <w:rsid w:val="006D165C"/>
    <w:rsid w:val="006D357B"/>
    <w:rsid w:val="006D370A"/>
    <w:rsid w:val="006D3DA4"/>
    <w:rsid w:val="006E2C74"/>
    <w:rsid w:val="00706050"/>
    <w:rsid w:val="00707827"/>
    <w:rsid w:val="007103F3"/>
    <w:rsid w:val="0071137B"/>
    <w:rsid w:val="007137B6"/>
    <w:rsid w:val="0071475C"/>
    <w:rsid w:val="007204A5"/>
    <w:rsid w:val="00723293"/>
    <w:rsid w:val="00724217"/>
    <w:rsid w:val="0073442C"/>
    <w:rsid w:val="00735B6B"/>
    <w:rsid w:val="00735BA7"/>
    <w:rsid w:val="0073709B"/>
    <w:rsid w:val="00740B93"/>
    <w:rsid w:val="00741BA1"/>
    <w:rsid w:val="00751C64"/>
    <w:rsid w:val="007528BC"/>
    <w:rsid w:val="00753AF0"/>
    <w:rsid w:val="0075762D"/>
    <w:rsid w:val="00760713"/>
    <w:rsid w:val="00760A29"/>
    <w:rsid w:val="00761380"/>
    <w:rsid w:val="00761B00"/>
    <w:rsid w:val="00763CDC"/>
    <w:rsid w:val="00765088"/>
    <w:rsid w:val="00770334"/>
    <w:rsid w:val="00770ED0"/>
    <w:rsid w:val="007714B0"/>
    <w:rsid w:val="007716AA"/>
    <w:rsid w:val="007738F2"/>
    <w:rsid w:val="00777080"/>
    <w:rsid w:val="00780066"/>
    <w:rsid w:val="0078207F"/>
    <w:rsid w:val="007914CC"/>
    <w:rsid w:val="00792227"/>
    <w:rsid w:val="007A35B9"/>
    <w:rsid w:val="007A51BB"/>
    <w:rsid w:val="007A6016"/>
    <w:rsid w:val="007A6AA2"/>
    <w:rsid w:val="007B1E37"/>
    <w:rsid w:val="007B4120"/>
    <w:rsid w:val="007B4372"/>
    <w:rsid w:val="007C0A4B"/>
    <w:rsid w:val="007C7ECB"/>
    <w:rsid w:val="007D231B"/>
    <w:rsid w:val="007D4E81"/>
    <w:rsid w:val="007D6325"/>
    <w:rsid w:val="007D6FB1"/>
    <w:rsid w:val="007E3CBC"/>
    <w:rsid w:val="007E3F89"/>
    <w:rsid w:val="007E5A2F"/>
    <w:rsid w:val="007F3319"/>
    <w:rsid w:val="007F3B83"/>
    <w:rsid w:val="007F485E"/>
    <w:rsid w:val="007F6ACD"/>
    <w:rsid w:val="00803B1E"/>
    <w:rsid w:val="00805FC3"/>
    <w:rsid w:val="008069AC"/>
    <w:rsid w:val="00811285"/>
    <w:rsid w:val="0081220F"/>
    <w:rsid w:val="00834400"/>
    <w:rsid w:val="0084302E"/>
    <w:rsid w:val="00844CBC"/>
    <w:rsid w:val="00853B31"/>
    <w:rsid w:val="0085666F"/>
    <w:rsid w:val="00861A1A"/>
    <w:rsid w:val="00865704"/>
    <w:rsid w:val="008668C5"/>
    <w:rsid w:val="008679AE"/>
    <w:rsid w:val="00872F03"/>
    <w:rsid w:val="00874AD1"/>
    <w:rsid w:val="00875118"/>
    <w:rsid w:val="00875190"/>
    <w:rsid w:val="00876578"/>
    <w:rsid w:val="0088392F"/>
    <w:rsid w:val="0089301B"/>
    <w:rsid w:val="00893F1C"/>
    <w:rsid w:val="00896598"/>
    <w:rsid w:val="00896AAF"/>
    <w:rsid w:val="00896C5E"/>
    <w:rsid w:val="00896D1B"/>
    <w:rsid w:val="008A4872"/>
    <w:rsid w:val="008A6870"/>
    <w:rsid w:val="008A71CD"/>
    <w:rsid w:val="008A72A0"/>
    <w:rsid w:val="008A7DF8"/>
    <w:rsid w:val="008B3654"/>
    <w:rsid w:val="008B4C50"/>
    <w:rsid w:val="008C4360"/>
    <w:rsid w:val="008C455E"/>
    <w:rsid w:val="008D206C"/>
    <w:rsid w:val="008E0DA5"/>
    <w:rsid w:val="008E1A90"/>
    <w:rsid w:val="008E7232"/>
    <w:rsid w:val="008E7846"/>
    <w:rsid w:val="008F5AC6"/>
    <w:rsid w:val="008F7B0C"/>
    <w:rsid w:val="00921B6D"/>
    <w:rsid w:val="009241BD"/>
    <w:rsid w:val="00925B57"/>
    <w:rsid w:val="00927E9B"/>
    <w:rsid w:val="00931E29"/>
    <w:rsid w:val="009433EC"/>
    <w:rsid w:val="00944E19"/>
    <w:rsid w:val="0094575D"/>
    <w:rsid w:val="00945D49"/>
    <w:rsid w:val="0094720B"/>
    <w:rsid w:val="009511B4"/>
    <w:rsid w:val="00955912"/>
    <w:rsid w:val="00955FBF"/>
    <w:rsid w:val="0097117C"/>
    <w:rsid w:val="0097353C"/>
    <w:rsid w:val="00977205"/>
    <w:rsid w:val="00990F30"/>
    <w:rsid w:val="0099190F"/>
    <w:rsid w:val="009922E1"/>
    <w:rsid w:val="00995CDC"/>
    <w:rsid w:val="009962D2"/>
    <w:rsid w:val="009A0B01"/>
    <w:rsid w:val="009A7338"/>
    <w:rsid w:val="009B6B3D"/>
    <w:rsid w:val="009C1388"/>
    <w:rsid w:val="009C3D45"/>
    <w:rsid w:val="009C4413"/>
    <w:rsid w:val="009C6781"/>
    <w:rsid w:val="009C6DF5"/>
    <w:rsid w:val="009D150B"/>
    <w:rsid w:val="009F094E"/>
    <w:rsid w:val="009F35B3"/>
    <w:rsid w:val="009F5FE6"/>
    <w:rsid w:val="00A00446"/>
    <w:rsid w:val="00A00534"/>
    <w:rsid w:val="00A13600"/>
    <w:rsid w:val="00A17F85"/>
    <w:rsid w:val="00A2040E"/>
    <w:rsid w:val="00A22374"/>
    <w:rsid w:val="00A2238B"/>
    <w:rsid w:val="00A23836"/>
    <w:rsid w:val="00A23A1D"/>
    <w:rsid w:val="00A27BCE"/>
    <w:rsid w:val="00A27C54"/>
    <w:rsid w:val="00A3027A"/>
    <w:rsid w:val="00A347B0"/>
    <w:rsid w:val="00A366AD"/>
    <w:rsid w:val="00A37EA8"/>
    <w:rsid w:val="00A41839"/>
    <w:rsid w:val="00A42799"/>
    <w:rsid w:val="00A452DF"/>
    <w:rsid w:val="00A525E0"/>
    <w:rsid w:val="00A55696"/>
    <w:rsid w:val="00A556CC"/>
    <w:rsid w:val="00A668E6"/>
    <w:rsid w:val="00A72C74"/>
    <w:rsid w:val="00A772BC"/>
    <w:rsid w:val="00A85070"/>
    <w:rsid w:val="00A85FB3"/>
    <w:rsid w:val="00A94521"/>
    <w:rsid w:val="00A979DC"/>
    <w:rsid w:val="00AA4AEB"/>
    <w:rsid w:val="00AA6488"/>
    <w:rsid w:val="00AB25DE"/>
    <w:rsid w:val="00AB6939"/>
    <w:rsid w:val="00AB6EE9"/>
    <w:rsid w:val="00AC4F83"/>
    <w:rsid w:val="00AD3F07"/>
    <w:rsid w:val="00AD487B"/>
    <w:rsid w:val="00AD5496"/>
    <w:rsid w:val="00AE3035"/>
    <w:rsid w:val="00AF13CD"/>
    <w:rsid w:val="00AF4B20"/>
    <w:rsid w:val="00AF6ABD"/>
    <w:rsid w:val="00B01781"/>
    <w:rsid w:val="00B13741"/>
    <w:rsid w:val="00B17708"/>
    <w:rsid w:val="00B2472E"/>
    <w:rsid w:val="00B25EA6"/>
    <w:rsid w:val="00B27962"/>
    <w:rsid w:val="00B27A8F"/>
    <w:rsid w:val="00B310FE"/>
    <w:rsid w:val="00B316C7"/>
    <w:rsid w:val="00B32B19"/>
    <w:rsid w:val="00B344AC"/>
    <w:rsid w:val="00B34CA9"/>
    <w:rsid w:val="00B35881"/>
    <w:rsid w:val="00B45E1A"/>
    <w:rsid w:val="00B5036F"/>
    <w:rsid w:val="00B503FE"/>
    <w:rsid w:val="00B60785"/>
    <w:rsid w:val="00B65BB9"/>
    <w:rsid w:val="00B67E67"/>
    <w:rsid w:val="00B80F95"/>
    <w:rsid w:val="00B811B3"/>
    <w:rsid w:val="00B81219"/>
    <w:rsid w:val="00B82973"/>
    <w:rsid w:val="00B90942"/>
    <w:rsid w:val="00B90CE0"/>
    <w:rsid w:val="00B92C37"/>
    <w:rsid w:val="00B94C5B"/>
    <w:rsid w:val="00B97358"/>
    <w:rsid w:val="00BA4EDC"/>
    <w:rsid w:val="00BB52B4"/>
    <w:rsid w:val="00BB5CE1"/>
    <w:rsid w:val="00BB7B58"/>
    <w:rsid w:val="00BC4831"/>
    <w:rsid w:val="00BC4918"/>
    <w:rsid w:val="00BD38C2"/>
    <w:rsid w:val="00BD5529"/>
    <w:rsid w:val="00BD6CDA"/>
    <w:rsid w:val="00BE587E"/>
    <w:rsid w:val="00BF0778"/>
    <w:rsid w:val="00BF2366"/>
    <w:rsid w:val="00BF4CE6"/>
    <w:rsid w:val="00C01558"/>
    <w:rsid w:val="00C03A4B"/>
    <w:rsid w:val="00C05347"/>
    <w:rsid w:val="00C05650"/>
    <w:rsid w:val="00C14F61"/>
    <w:rsid w:val="00C17327"/>
    <w:rsid w:val="00C20035"/>
    <w:rsid w:val="00C211BD"/>
    <w:rsid w:val="00C24BBF"/>
    <w:rsid w:val="00C317C3"/>
    <w:rsid w:val="00C51BCA"/>
    <w:rsid w:val="00C52D16"/>
    <w:rsid w:val="00C66C96"/>
    <w:rsid w:val="00C6795E"/>
    <w:rsid w:val="00C727CA"/>
    <w:rsid w:val="00C80770"/>
    <w:rsid w:val="00C82DCE"/>
    <w:rsid w:val="00C837D7"/>
    <w:rsid w:val="00C8592B"/>
    <w:rsid w:val="00C85FC3"/>
    <w:rsid w:val="00C870A0"/>
    <w:rsid w:val="00C93189"/>
    <w:rsid w:val="00C9533C"/>
    <w:rsid w:val="00C9730A"/>
    <w:rsid w:val="00CA0C1A"/>
    <w:rsid w:val="00CA50BD"/>
    <w:rsid w:val="00CA6035"/>
    <w:rsid w:val="00CA6485"/>
    <w:rsid w:val="00CA76F9"/>
    <w:rsid w:val="00CB220F"/>
    <w:rsid w:val="00CB64D7"/>
    <w:rsid w:val="00CC4381"/>
    <w:rsid w:val="00CC6A25"/>
    <w:rsid w:val="00CC7BD6"/>
    <w:rsid w:val="00CD5031"/>
    <w:rsid w:val="00CE1330"/>
    <w:rsid w:val="00CE1CD9"/>
    <w:rsid w:val="00CE52FD"/>
    <w:rsid w:val="00CE691E"/>
    <w:rsid w:val="00D0121E"/>
    <w:rsid w:val="00D128F8"/>
    <w:rsid w:val="00D25570"/>
    <w:rsid w:val="00D2557D"/>
    <w:rsid w:val="00D25B3E"/>
    <w:rsid w:val="00D261CB"/>
    <w:rsid w:val="00D315BA"/>
    <w:rsid w:val="00D40178"/>
    <w:rsid w:val="00D4154B"/>
    <w:rsid w:val="00D42B52"/>
    <w:rsid w:val="00D501CA"/>
    <w:rsid w:val="00D5312E"/>
    <w:rsid w:val="00D555EA"/>
    <w:rsid w:val="00D558B6"/>
    <w:rsid w:val="00D56960"/>
    <w:rsid w:val="00D571DC"/>
    <w:rsid w:val="00D6218C"/>
    <w:rsid w:val="00D6233C"/>
    <w:rsid w:val="00D62AF0"/>
    <w:rsid w:val="00D7599F"/>
    <w:rsid w:val="00D762F1"/>
    <w:rsid w:val="00D800F4"/>
    <w:rsid w:val="00D8308F"/>
    <w:rsid w:val="00D85FB4"/>
    <w:rsid w:val="00D876AF"/>
    <w:rsid w:val="00D90851"/>
    <w:rsid w:val="00D923B8"/>
    <w:rsid w:val="00D929DC"/>
    <w:rsid w:val="00D93C47"/>
    <w:rsid w:val="00D9405C"/>
    <w:rsid w:val="00DA4090"/>
    <w:rsid w:val="00DA4615"/>
    <w:rsid w:val="00DA4726"/>
    <w:rsid w:val="00DB1F35"/>
    <w:rsid w:val="00DB5061"/>
    <w:rsid w:val="00DC2CD2"/>
    <w:rsid w:val="00DC50E9"/>
    <w:rsid w:val="00DE00D6"/>
    <w:rsid w:val="00DE4B27"/>
    <w:rsid w:val="00DE6677"/>
    <w:rsid w:val="00DE6724"/>
    <w:rsid w:val="00DF0F90"/>
    <w:rsid w:val="00DF2F0A"/>
    <w:rsid w:val="00DF3318"/>
    <w:rsid w:val="00DF41A7"/>
    <w:rsid w:val="00E023BE"/>
    <w:rsid w:val="00E1357F"/>
    <w:rsid w:val="00E1545C"/>
    <w:rsid w:val="00E24AFF"/>
    <w:rsid w:val="00E26D8A"/>
    <w:rsid w:val="00E31C28"/>
    <w:rsid w:val="00E43956"/>
    <w:rsid w:val="00E462AA"/>
    <w:rsid w:val="00E65D51"/>
    <w:rsid w:val="00E65FF4"/>
    <w:rsid w:val="00E75299"/>
    <w:rsid w:val="00E76715"/>
    <w:rsid w:val="00E868E2"/>
    <w:rsid w:val="00E87032"/>
    <w:rsid w:val="00E93D43"/>
    <w:rsid w:val="00E9593B"/>
    <w:rsid w:val="00E977E6"/>
    <w:rsid w:val="00EA0B02"/>
    <w:rsid w:val="00EA1611"/>
    <w:rsid w:val="00EA2003"/>
    <w:rsid w:val="00EB588A"/>
    <w:rsid w:val="00EC0F5B"/>
    <w:rsid w:val="00EC3CCD"/>
    <w:rsid w:val="00EE2FB7"/>
    <w:rsid w:val="00EE6941"/>
    <w:rsid w:val="00EE7D6C"/>
    <w:rsid w:val="00EF1BD8"/>
    <w:rsid w:val="00EF31E7"/>
    <w:rsid w:val="00EF7DFD"/>
    <w:rsid w:val="00F007F5"/>
    <w:rsid w:val="00F13162"/>
    <w:rsid w:val="00F13659"/>
    <w:rsid w:val="00F145B4"/>
    <w:rsid w:val="00F222C6"/>
    <w:rsid w:val="00F30DE5"/>
    <w:rsid w:val="00F32C10"/>
    <w:rsid w:val="00F340E1"/>
    <w:rsid w:val="00F369EE"/>
    <w:rsid w:val="00F52544"/>
    <w:rsid w:val="00F633B7"/>
    <w:rsid w:val="00F6518C"/>
    <w:rsid w:val="00F67761"/>
    <w:rsid w:val="00F71B2B"/>
    <w:rsid w:val="00F728A4"/>
    <w:rsid w:val="00F73106"/>
    <w:rsid w:val="00F76AB9"/>
    <w:rsid w:val="00F805B1"/>
    <w:rsid w:val="00F85638"/>
    <w:rsid w:val="00F935DF"/>
    <w:rsid w:val="00F94175"/>
    <w:rsid w:val="00F948C4"/>
    <w:rsid w:val="00F9537C"/>
    <w:rsid w:val="00F96EAA"/>
    <w:rsid w:val="00FA3795"/>
    <w:rsid w:val="00FA62A9"/>
    <w:rsid w:val="00FB0E11"/>
    <w:rsid w:val="00FB143E"/>
    <w:rsid w:val="00FB2A08"/>
    <w:rsid w:val="00FB50B9"/>
    <w:rsid w:val="00FC0AA5"/>
    <w:rsid w:val="00FC199A"/>
    <w:rsid w:val="00FC2ABC"/>
    <w:rsid w:val="00FC5782"/>
    <w:rsid w:val="00FD169D"/>
    <w:rsid w:val="00FF330D"/>
    <w:rsid w:val="00FF44E5"/>
    <w:rsid w:val="00FF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7F993F"/>
  <w15:chartTrackingRefBased/>
  <w15:docId w15:val="{1E6DC13B-0277-E246-9205-F0C8500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53E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076501"/>
    <w:rPr>
      <w:color w:val="0000FF"/>
      <w:u w:val="single"/>
    </w:rPr>
  </w:style>
  <w:style w:type="paragraph" w:styleId="Footer">
    <w:name w:val="footer"/>
    <w:basedOn w:val="Normal"/>
    <w:link w:val="FooterChar"/>
    <w:uiPriority w:val="99"/>
    <w:unhideWhenUsed/>
    <w:rsid w:val="00316052"/>
    <w:pPr>
      <w:tabs>
        <w:tab w:val="center" w:pos="4680"/>
        <w:tab w:val="right" w:pos="9360"/>
      </w:tabs>
    </w:pPr>
  </w:style>
  <w:style w:type="character" w:customStyle="1" w:styleId="FooterChar">
    <w:name w:val="Footer Char"/>
    <w:basedOn w:val="DefaultParagraphFont"/>
    <w:link w:val="Footer"/>
    <w:uiPriority w:val="99"/>
    <w:rsid w:val="00316052"/>
  </w:style>
  <w:style w:type="character" w:styleId="PageNumber">
    <w:name w:val="page number"/>
    <w:basedOn w:val="DefaultParagraphFont"/>
    <w:uiPriority w:val="99"/>
    <w:semiHidden/>
    <w:unhideWhenUsed/>
    <w:rsid w:val="00316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9500126">
      <w:bodyDiv w:val="1"/>
      <w:marLeft w:val="0"/>
      <w:marRight w:val="0"/>
      <w:marTop w:val="0"/>
      <w:marBottom w:val="0"/>
      <w:divBdr>
        <w:top w:val="none" w:sz="0" w:space="0" w:color="auto"/>
        <w:left w:val="none" w:sz="0" w:space="0" w:color="auto"/>
        <w:bottom w:val="none" w:sz="0" w:space="0" w:color="auto"/>
        <w:right w:val="none" w:sz="0" w:space="0" w:color="auto"/>
      </w:divBdr>
      <w:divsChild>
        <w:div w:id="111218284">
          <w:marLeft w:val="0"/>
          <w:marRight w:val="0"/>
          <w:marTop w:val="0"/>
          <w:marBottom w:val="0"/>
          <w:divBdr>
            <w:top w:val="none" w:sz="0" w:space="0" w:color="auto"/>
            <w:left w:val="none" w:sz="0" w:space="0" w:color="auto"/>
            <w:bottom w:val="none" w:sz="0" w:space="0" w:color="auto"/>
            <w:right w:val="none" w:sz="0" w:space="0" w:color="auto"/>
          </w:divBdr>
          <w:divsChild>
            <w:div w:id="128713341">
              <w:marLeft w:val="0"/>
              <w:marRight w:val="0"/>
              <w:marTop w:val="0"/>
              <w:marBottom w:val="0"/>
              <w:divBdr>
                <w:top w:val="none" w:sz="0" w:space="0" w:color="auto"/>
                <w:left w:val="none" w:sz="0" w:space="0" w:color="auto"/>
                <w:bottom w:val="none" w:sz="0" w:space="0" w:color="auto"/>
                <w:right w:val="none" w:sz="0" w:space="0" w:color="auto"/>
              </w:divBdr>
            </w:div>
          </w:divsChild>
        </w:div>
        <w:div w:id="1986012430">
          <w:marLeft w:val="0"/>
          <w:marRight w:val="0"/>
          <w:marTop w:val="0"/>
          <w:marBottom w:val="0"/>
          <w:divBdr>
            <w:top w:val="none" w:sz="0" w:space="0" w:color="auto"/>
            <w:left w:val="none" w:sz="0" w:space="0" w:color="auto"/>
            <w:bottom w:val="none" w:sz="0" w:space="0" w:color="auto"/>
            <w:right w:val="none" w:sz="0" w:space="0" w:color="auto"/>
          </w:divBdr>
          <w:divsChild>
            <w:div w:id="1556618485">
              <w:marLeft w:val="0"/>
              <w:marRight w:val="0"/>
              <w:marTop w:val="0"/>
              <w:marBottom w:val="0"/>
              <w:divBdr>
                <w:top w:val="none" w:sz="0" w:space="0" w:color="auto"/>
                <w:left w:val="none" w:sz="0" w:space="0" w:color="auto"/>
                <w:bottom w:val="none" w:sz="0" w:space="0" w:color="auto"/>
                <w:right w:val="none" w:sz="0" w:space="0" w:color="auto"/>
              </w:divBdr>
            </w:div>
            <w:div w:id="673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sb.info.nih.gov/ij/"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Nataki Douglas</dc:creator>
  <cp:keywords/>
  <dc:description/>
  <cp:lastModifiedBy>Nataki Douglas</cp:lastModifiedBy>
  <cp:revision>2</cp:revision>
  <dcterms:created xsi:type="dcterms:W3CDTF">2021-03-23T16:32:00Z</dcterms:created>
  <dcterms:modified xsi:type="dcterms:W3CDTF">2021-03-23T16:32:00Z</dcterms:modified>
</cp:coreProperties>
</file>