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9736bf007374b2791d36e83da2c5e6f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MACD技术指标的核心原理与实战应用方法，重点解析了多空区间判定（白线与零轴关系）、顶/底背离识别、趋势预判本质及在大盘分析中的“一票否决权”作用，并强调其需嵌入完整交易框架方能发挥最大效用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6172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f78487a39da40e9bd78ec8a36f1333e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直播开场与周年感怀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b23fd20-a6d1-4dbb-9642-47711f47ca1f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直播一周年纪念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今日恰逢舰长直播一周年，主播感慨一年来从困惑到建立系统化交易框架的成长历程，提及七年前因太极一期节目结识互联网师傅的机缘。</w:t>
      </w:r>
      <w:bookmarkEnd w:id="100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0a0a661d0d94cd7abf697e0183f552b" w:id="100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交易纪律与止损执行讨论 </w:t>
      </w:r>
      <w:bookmarkEnd w:id="1005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40ad8b-c2c1-4bfa-8a7b-3fd16f8c1268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盈亏平衡点止损的肌肉记忆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针对“黄线下-0.5%盈转亏即触发止损”操作，肯定其形成条件单纪律的重要性。</w:t>
      </w:r>
      <w:bookmarkEnd w:id="100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6c1c5b3-56bc-4703-8083-bd1cab04d57f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多头区间内的弹性应对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在多头区间内，若出现微小阴线缩量回调，可容忍次日快速反弹（如3%-4%），因资金攻击板块内极少连续跌破黄线。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a12a106-1837-4cd0-89b9-6f88c5b24d82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盘中跌破确认机制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盘中跌破黄线不立即确认，须待次日收盘价验证；若当日即收回，则属正常波动。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b90a06-0517-45df-9530-e26786b50579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依据驱动决策原则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所有操作必须基于明确依据（如多头区间忍耐、盈亏平衡点刚性止损），杜绝情绪化赌博式操作。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65fd1b-a79e-47f3-bda8-37d18b679a5c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新手到熟手的认知跃迁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初期严格遵循技术规则是必要阶段，随经验积累将形成从容的新习惯，交易框架逐步内化为本能反应。</w:t>
      </w:r>
      <w:bookmarkEnd w:id="101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0f7dacba62d4f599a429cd90d9a73af" w:id="101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MACD指标教学启动 </w:t>
      </w:r>
      <w:bookmarkEnd w:id="101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5c85ab-106f-4d1e-bc88-6b2df640abc9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MACD的基础地位与默认参数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MACD是除均线外最核心技术指标，所有软件默认加载，参数（12,26,9）天然对应一个完整波段周期。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1a36764-c2a6-4ccb-a818-a4b20009b723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单一使用失效性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若仅孤立观察金叉/死叉/红绿柱/背离，该指标失效；必须作为“战法组合最终验证工具”嵌入多维分析体系。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60dc483-40c7-4c23-839f-8be85cccbe08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一票否决权概念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MACD具备关键否决功能：当其他战法信号一致时，MACD反向信号可直接否决交易决策。</w:t>
      </w:r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6c0610ba2694b44a430140c444b2bb2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MACD结构解析与多空判定 </w:t>
      </w:r>
      <w:bookmarkEnd w:id="101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6bde4d5-743d-41d7-b217-bafc5a2f571f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自定义参数说明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主播使用默认参数（12,26,9），仅增加两个视觉提示：白线（DIFF）上穿零轴标红点，下穿零轴标绿点。</w:t>
      </w:r>
      <w:bookmarkEnd w:id="101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0b4fcb6-29b7-4fc9-bce5-f7c38e5ca71d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红绿柱直观意义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红柱区间≈主力控盘上涨波段，绿柱区间≈下跌波段；924案例显示红柱最长处为波段高点，随后红柱缩短、转绿标志趋势转折。</w:t>
      </w:r>
      <w:bookmarkEnd w:id="101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bdf13a-2f8d-4799-b2a4-39647b444c42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白线（DIFF）核心地位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白线为快线，黄线（DEA）为慢线；实战中优先参考白线与零轴关系，而非黄线。</w:t>
      </w:r>
      <w:bookmarkEnd w:id="101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e95c0cd-bf94-4913-ab4f-86c5ee51d526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多头/空头区间定义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白线上穿零轴→进入多头区间；白线下穿零轴→进入空头区间。例如上周五白线上穿零轴，确立当前大盘多头区间。</w:t>
      </w:r>
      <w:bookmarkEnd w:id="101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d54243b-db7a-4557-873d-a2861ce80539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多头区间操作要义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“轻大盘重个股”，因多头区间内个股普涨概率高，无需过度择时。</w:t>
      </w:r>
      <w:bookmarkEnd w:id="10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eb57306d8734a1f94d31c943afe39a6" w:id="10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滞后性与预判性的辩证理解 </w:t>
      </w:r>
      <w:bookmarkEnd w:id="102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1b40505-53e1-41f5-a093-0bfdf09b917c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新手误区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新手视MACD变化缓慢为“滞后性”，实则因其平滑特性而具备强趋势预判能力。</w:t>
      </w:r>
      <w:bookmarkEnd w:id="102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33bce8f-b05d-46af-a0e5-169c75a35d01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高手认知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滞后性即预判性：MACD对趋势的确认虽晚于价格，但能过滤噪音，避免震荡假信号。</w:t>
      </w:r>
      <w:bookmarkEnd w:id="102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de04ea-1b09-43a1-afb6-52ceee13e8fe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唯一失效场景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仅当白线真正下穿零轴（如11月24日）才标志多头终结；此前多次回调均属正常波动，不可因单次“滞后”而频繁止损。</w:t>
      </w:r>
      <w:bookmarkEnd w:id="102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12c63a8f8954e0caeecd7fa32e53915" w:id="102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大盘趋势验证与历史对照 </w:t>
      </w:r>
      <w:bookmarkEnd w:id="102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8608e51-d4ea-4455-80c0-177c5089ffe5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空头区间警示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2023年大盘MACD双线持续下行，明确指示“空头区间勿玩”，期间短暂反弹（123个交易日）亦被黄线压制迅速回落。</w:t>
      </w:r>
      <w:bookmarkEnd w:id="1026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1de630b-08e2-4602-a992-76f0869459e8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大盘指标权威性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上证指数等万亿级市场无法被人为操纵MACD，故其趋势信号高度可靠；龙队可影响短期价格，但无法改变MACD形成的长期趋势。</w:t>
      </w:r>
      <w:bookmarkEnd w:id="102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933f2f-a97e-4f07-9dbf-4b0c67b7b4e5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牛市特征复盘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2005年底起MACD站稳零轴上方，开启第一波牛市；2006年8月起第二波更强劲牛市，伴随股改红利释放，筹码结构优化。</w:t>
      </w:r>
      <w:bookmarkEnd w:id="102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1af83fbe8eb450aac794bf73c954520" w:id="102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顶背离与底背离精要 </w:t>
      </w:r>
      <w:bookmarkEnd w:id="102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59aab62-eaeb-4d28-b9ce-9f4d6a7db1ec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顶背离定义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股价创新高，白线未创新高（或红柱缩短），如6124点次高点白线严重低于前高，双头形态+背离确认顶部。</w:t>
      </w:r>
      <w:bookmarkEnd w:id="1030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c84783-f80d-4dac-969b-5af060b3f85e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底背离定义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股价创新低，白线未创新低（如1664点），表明下跌动能衰竭，趋势可能反转。</w:t>
      </w:r>
      <w:bookmarkEnd w:id="103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6647fd-98ce-4ae8-a609-580fa20e2fdd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背离非绝对信号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顶背离不必然见顶，底背离不必然见底，但均为趋势弱化的关键预警。</w:t>
      </w:r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8c2e1ff894b4c1a87bef572265a199e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期货空单实战范式 </w:t>
      </w:r>
      <w:bookmarkEnd w:id="103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01e2572-96ab-4039-8b55-333438a96065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做空黄金时机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次高点顶背离确认后，在绿柱变长且白线下穿黄线（金叉空）时开空；若绿柱继续放大，则加空。</w:t>
      </w:r>
      <w:bookmarkEnd w:id="103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759da1f-8900-48ff-ad2c-69f22ebb47eb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止损与平仓规则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止损设于黄线上方；若价格反弹至白线之上，则平仓离场，严禁逆势加仓。</w:t>
      </w:r>
      <w:bookmarkEnd w:id="103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67bbfc509af49b3b693fcb168cc0df4" w:id="103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核心结论与方法论重申 </w:t>
      </w:r>
      <w:bookmarkEnd w:id="103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0a39d31-2ced-4213-aac7-87c88d505b5f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MACD三大铁律</w:t>
      </w:r>
      <w:bookmarkEnd w:id="103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d217bd-2966-4e39-a162-62f94f6c898e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白线与零轴关系判定多空区间；</w:t>
      </w:r>
      <w:bookmarkEnd w:id="103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34637a-c870-4b53-b0a9-94a6c8070375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顶/底背离识别趋势转折；</w:t>
      </w:r>
      <w:bookmarkEnd w:id="103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8fd37f-30dd-4157-a27d-0c8d1cdbabd7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作为最终验证工具行使“一票否决权”。</w:t>
      </w:r>
      <w:bookmarkEnd w:id="104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e0ade5acbd324a7cb2c0227e71d7723b" w:id="104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2026-04-30T15:00:32Z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FtuOELPtuN68bSJck3PCfFvntkZ400j6nTOIfQdd0E=","ProduceID":"ai_zongjie:cb298385be93c90a48b177495b64c718","ReservedCode2":"cFtuOELPtuN68bSJck3PCfFvntkZ400j6nTOIfQdd0E=","PropagateID":"ai_zongjie:cb298385be93c90a48b177495b64c718","ContentProducer":"001191440101MA9Y9T4H7A00000"}</vt:lpwstr>
  </property>
</Properties>
</file>