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e92ee30b87e4bfb946705fc9edb4097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MACD指标的三种高阶实战用法：零轴上下判断多空趋势、顶底背离识别主力建仓/出货阶段、金叉空与死叉多捕捉趋势延续信号，并深入剖析了背离的本质是资金行为（建仓波→洗盘→主升→出货）在量价关系上的映射，强调白线趋势优先于红柱强度，指出散户常陷于金叉死叉噪音而忽视核心逻辑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435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df2361546b345e3a3e7e0c499ad11f5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MACD第一用法：零轴上下判断多空区间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eb55c4d-6f2d-4aaa-a5e3-2cc0ed94cc16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多头区间定义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白线在零轴以上，表示涨的概率大于跌的概率。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b888c2f-661a-45d8-bcf1-ef22016c7cc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空头区间定义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白线在零轴以下，表示跌的概率大于涨的概率。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364a740-5714-46a3-a362-8d8ddb0835ed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波段操作原则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波段持有应严格限定在零轴之上的多头区间内；零轴之下即为空头区间，应规避持仓。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faa0b48a8c74fbe8d05ba165788eb63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MACD第二用法：顶背离与底背离识别主力行为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4145606-2035-490c-ad9f-2f1ea6ad9961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底背离本质逻辑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c8163d-94d0-4d04-8943-7da90aa7b225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底背离并非技术现象，而是大资金建仓行为的结果：股价创新低，但MACD白线未创新低，表明主力真金白银吸筹。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05d6442-8aef-4d72-87aa-f25573850a5d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建仓完成后必有首次大洗盘（B1回调），洗盘后筹码锁定，后续上涨中量价关系弱化，MACD数值难再放大。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5c2e373-f7fd-4188-8924-d53f0f0e4c8c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顶背离本质逻辑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775b77c-d72a-40f3-a0db-ad92c312f13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顶背离是主力出货信号：股价创新高，但MACD白线未同步新高，反映增量资金枯竭、多头合力衰减。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a27a4e6-8708-4043-8185-a1911b2f8944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出货过程呈渐进式：反复顶背离后终有一次为真顶，对应大趋势终结。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2c04958-5a53-491d-bc5f-d8239a32ee52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双底结构分类</w:t>
      </w:r>
      <w:bookmarkEnd w:id="101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a69594-8681-4cc1-a2de-3cea8bb1850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左侧双底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：机构在首次底背离位置建仓，属主动抄底行为，如1664点。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8ed565c-4710-4121-9258-1830126970ec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右侧双底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：散户或趋势跟随者在价格确认回升后入场，属被动跟随行为，如1800点反弹后二次确认。</w:t>
      </w:r>
      <w:bookmarkEnd w:id="1016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1915008-d3f2-4380-b6b3-b7c79c1ce28c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背离验证规则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1c65bc8-6edf-4ab8-99fc-93be03a30bb5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背离无法提前确认，需待走势走完反向验证（如双底需右侧放量突破颈线才成立）。</w:t>
      </w:r>
      <w:bookmarkEnd w:id="101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bb2494-5d6e-4f6b-b6c7-efe41f1c26d4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背离可重复发生，但“最后一次”往往为真，需结合白线位置综合判断。</w:t>
      </w:r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28107ee59da47d38aba785fa230f494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MACD第三用法：金叉空与死叉多捕捉趋势延续信号 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f24d978-382f-44b7-96c8-510ff90b37a6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金叉空定义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4caf03-3d5a-425f-bc90-42fe3a3bac40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白线与黄线即将金叉时拐头向下，形成“假金叉”，预示原下跌趋势延续。</w:t>
      </w:r>
      <w:bookmarkEnd w:id="102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cfef71-34eb-4060-bb5e-7762ed3e9252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死叉多定义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2f9d2a-d432-4070-8368-2198caee19b1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白线与黄线即将死叉时拐头向上，形成“假死叉”，预示原上涨趋势延续，期货市场称“空中加油”。</w:t>
      </w:r>
      <w:bookmarkEnd w:id="102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57f19f1-1eb7-4ebf-9492-1022908a1ef4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信号效力定位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0a52dee-9388-45d7-8d31-1a16005f01e2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金叉/死叉仅为辅助验证工具，非独立决策依据；其价值在于提供“一票否决权”——当与其他战法冲突时，须尊重MACD最终信号。</w:t>
      </w:r>
      <w:bookmarkEnd w:id="10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03c83d068b34bfb934f3a1a0fd5fc28" w:id="10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核心操作原则与辨析 </w:t>
      </w:r>
      <w:bookmarkEnd w:id="102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0911bd-d585-4e59-848e-731dc3ab3b02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白线优先于红柱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d00872d-0d12-43f4-b268-d6994625af1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白线代表市场合力趋势，与价格直接对应（价格创新高即账户盈利），是首要观察对象。</w:t>
      </w:r>
      <w:bookmarkEnd w:id="102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98371cc-0b44-4827-a740-9380d391b8cc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红柱反映短期动能强度，易受对倒等操纵影响，参考权重低于白线。</w:t>
      </w:r>
      <w:bookmarkEnd w:id="103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3802c9d-23da-4e9c-a5b3-d8613ac912ec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顺周期与背离的关系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8627e86-84ae-4029-8202-df7eebd86d86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顺周期（价格与MACD同向变动）是常态，此时无需过度解读，按趋势持有即可。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9e162f-2cc3-4d33-bac4-ba0048aec9ce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背离是“异常态”，仅在顺周期被打破时出现，是唯一可用来预判趋势转折的信号。</w:t>
      </w:r>
      <w:bookmarkEnd w:id="103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65db75b-032c-4429-b1d2-03034ae1e14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多周期协同验证</w:t>
      </w:r>
      <w:bookmarkEnd w:id="103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810f858-59a9-451a-ab65-132286041db8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日线级别双底需配合60分钟/30分钟级别结构验证：日线无背离但小周期现底背离，可参与短线反弹；日线背离则需警惕主趋势反转。</w:t>
      </w:r>
      <w:bookmarkEnd w:id="103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cd84a47-5b64-4418-b734-29728ed073e1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实战禁忌警示</w:t>
      </w:r>
      <w:bookmarkEnd w:id="103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245293-34ca-4b10-9fea-db0eb62d1779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禁止将金叉死叉作为单一买卖依据，否则陷入高频损耗与滞后陷阱。</w:t>
      </w:r>
      <w:bookmarkEnd w:id="103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7f5488b-988e-4fb6-b926-f843236c7db4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禁止追求“卖在绝对顶、买在绝对底”，所有指标仅提升概率（如53%→56%），长期坚持方能累积优势。</w:t>
      </w:r>
      <w:bookmarkEnd w:id="103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73d85ca244c49a5b46e15332a7902c3" w:id="103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指标协同应用框架 </w:t>
      </w:r>
      <w:bookmarkEnd w:id="103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40049af-07be-4f0b-83a0-64d8b751b09a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活跃市值先行指标</w:t>
      </w:r>
      <w:bookmarkEnd w:id="104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a4986e-ea00-4e96-98b8-8a0858584ca8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活跃市值翻多/翻空时间点早于MACD多空区间切换，二者共振时（如春节前活跃市值翻多+MACD白线站上零轴）为最佳盈利窗口。</w:t>
      </w:r>
      <w:bookmarkEnd w:id="104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2bc8358-aadf-4def-979a-4bd9be29f2c1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黄线分水岭作用</w:t>
      </w:r>
      <w:bookmarkEnd w:id="104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fa5754-73c9-4519-bff1-e21f349a6dfe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黄线是重要心理与技术分界，跌破黄线且白线仍在零轴之上属震荡洗盘，不可轻信；有效跌破零轴才标志多头区间终结。</w:t>
      </w:r>
      <w:bookmarkEnd w:id="104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b9bddf9-7d70-492d-9e30-2174408597cf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S1信号最高优先级</w:t>
      </w:r>
      <w:bookmarkEnd w:id="104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7e4b381-3782-4b09-9a8e-16eb76711e91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S1（通达信绿色成交量信号）为所有模块中优先级最高，一旦触发须立即执行放飞/减仓，MACD背离等次级信号仅作强化验证。</w:t>
      </w:r>
      <w:bookmarkEnd w:id="104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ace28ac5027462990bbb64c8b7685af" w:id="1046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6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2026-05-03T09:18:48Z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c+0CkyuI3ye0MXzEvrosTyus0+VRoSFUZGHpC2cjnA=","ProduceID":"ai_zongjie:174fb0b12f76f6a3bee6cde3cb7f911b","ReservedCode2":"Vc+0CkyuI3ye0MXzEvrosTyus0+VRoSFUZGHpC2cjnA=","PropagateID":"ai_zongjie:174fb0b12f76f6a3bee6cde3cb7f911b","ContentProducer":"001191440101MA9Y9T4H7A00000"}</vt:lpwstr>
  </property>
</Properties>
</file>