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2c62ac27c5d4f92973e69daa25e87a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MACD指标在股票技术分析中的核心应用逻辑，重点解析了底背离与顶背离的识别条件、白线与黄线（即DIFF与DEA）的位置交易价值、红绿柱趋势含义、多空区间判定及B1/B2/S1等实战入场/离场节点的决策依据，并反复强调所有分析仅为概率性参考，不构成任何投资建议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800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9ce519d92bf4072bd16a0f7b9d11674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MACD基础原理与核心概念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dfd04f-b56e-474a-9b78-36d07e48aa4c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建仓洗盘出升阶段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MACD在底部放量位置同步形成建仓、洗盘、出升过程。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631b01-898c-4070-9500-c21b9d753f81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大喜祝生阶段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后续出现大幅拉升行情，对应MACD红柱显著放大。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7098d3e-6630-4535-b786-2e25519e6c8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顺势与背离本质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背离需结合价格与MACD双指标验证；背离之后仍可再背离，不可单凭一次背离断定转折。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13f988759b6461e82276fd95ce542dd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底背离与顶背离的判定与可靠性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d1cfaf-a230-46de-b545-e73f8e878758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日线级别底背离定义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价格创新低而MACD白线（DIFF）未创新低，且绿柱缩短，称为日线级别底背离。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2d4ce8-e73e-4634-931f-9d20b90e5dc0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机构左侧入场信号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底背离出现时，第一波资金（抄底资金）即入场，属左侧交易行为。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3d0eeff-7ec0-48bd-b40b-0ad92b2c6c02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顶背离的杀伤力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三重顶背离表明主力坚决出货，往往伴随剧烈下跌；顶背离在日线级别最具操作参考价值。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8a143f-91c6-4882-8c1e-8661b5835c8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周线与月线背离差异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7079f9f-a5bd-44b4-91c4-a5cb99bc216a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周线顶背离参考价值低：因见顶后常A杀三天即跌20%–30%，来不及响应；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fe3ca5-8f30-42f4-b5f6-9bb3703f8fb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周线底背离参考价值高：底部需反复盘整，周线背离更可靠；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617273-995c-4e59-b1a1-16ba4108eb1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月线底背离虽漂亮但过慢，仅作辅助验证。</w:t>
      </w:r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b00da283c1e4ff395debf0478937f7c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MACD三要素结构与趋势判断 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c485961-771a-4651-903f-3143100b25b6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白线（DIFF）主导趋势方向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上涨时白线比红绿柱更重要，下跌时亦然；白线持续下行即顺周期空头趋势。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376572-f105-45a3-bdde-ddd433822be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黄线（DEA）与零轴关系决定多空区间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1a0038-fd18-41cd-bb46-3d63b80d5fd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白线与黄线均在零轴上方 → 多头区间；</w:t>
      </w:r>
      <w:bookmarkEnd w:id="101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41d953-aac4-4a28-86fa-f87b5c83eafb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均在零轴下方 → 空头区间；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3c105a-f88d-48ed-8b83-9652916c2a23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零轴为多空分水岭，把控白线与零轴关系是关键。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a1c010-2bc6-48fb-a808-2413366d1ad6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红绿柱（MACD Histogram）表征动能强弱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a0731a-e61e-4c34-a92d-dd9ddebbac80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红柱放大 → 多头动能增强；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01908b-2a75-4b25-b2e4-766768a28d8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绿柱放大 → 空头动能增强；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950c66-72b3-4aeb-8f5e-fafdd912cf4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红柱缩小 ≠ 见顶，绿柱缩小 ≠ 见底，须结合白线方向综合判断。</w:t>
      </w:r>
      <w:bookmarkEnd w:id="102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5b214c8198c44948acac2fd76059344" w:id="102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B1/B2/S1实战节点定义与风控逻辑 </w:t>
      </w:r>
      <w:bookmarkEnd w:id="102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ba5726-2bfd-44d2-b314-e532aa0e6b39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B1（首买点）标准</w:t>
      </w:r>
      <w:bookmarkEnd w:id="102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065b38-95fb-4529-a888-fffef429e932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位于多头区间内、红柱顺势区域更稳妥；</w:t>
      </w:r>
      <w:bookmarkEnd w:id="102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169f74-fd76-40d0-a0cb-6b80803a0a77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若出现在白线高位+绿柱初现处（红翻绿），属高风险B1，需严格设止损；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9aad38-385c-40c4-9a02-29741b625d06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黄线位置B1优于白线位置B1：因黄线代表短期均线粘合后的支撑，性价比更高。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c0c402-dba6-410f-aeb8-b25234137b8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B2（二次买点）博弈性质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需赌“金叉向上”+“历史级涨幅”，属高赔率低胜率操作，仅适用于仓位极轻、止损严控场景。</w:t>
      </w:r>
      <w:bookmarkEnd w:id="103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08489f-1b8f-4346-a4ea-07cd9b8e17b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S1（标准离场点）核心地位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S1为全身而退的刚性节点，必须执行；未给出S1即交易不完整，属遗憾案例。</w:t>
      </w:r>
      <w:bookmarkEnd w:id="103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d1a1fd02aa04fadbb62456847f21a4d" w:id="103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关键交易纪律与认知纠偏 </w:t>
      </w:r>
      <w:bookmarkEnd w:id="103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46215f-aed9-4568-9ad0-318cec0f767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白线位置不可靠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白线处红翻绿属常见洗盘结构，非确定性反转信号；不可将其作为唯一买入依据。</w:t>
      </w:r>
      <w:bookmarkEnd w:id="103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2528c58-6299-43ec-8cef-249037dc37c6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黄线位置交易价值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股价回调至黄线附近且未破，配合红砖（红柱重新放大），为高胜率B1；跌破黄线首根即止损。</w:t>
      </w:r>
      <w:bookmarkEnd w:id="103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cf19b3-6afa-4369-a3cd-caf11e565d04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量价配合优先级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“量乃根本，价何为是”——底部倍量柱、突破放量、顶部缩量均为关键验证信号；顶部无量≠绝对安全，需结合控盘度判断。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e46167d-85aa-4363-8968-cc277ca271c5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概率思维替代确定性幻想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所有技术信号均为概率事件；“没有百分百答案”“不是一加一等于二”；交易本质是管理风险而非追求胜率。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8605df0614c44c8888420c39f68f5ef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多周期协同验证方法论 </w:t>
      </w:r>
      <w:bookmarkEnd w:id="103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6721b94-ed11-49a2-b671-fb949e096a9a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小级别不清则上大级别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日线混沌时，切换至周线寻找底背离；周线亦不明，则看月线黄线是否获支撑。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396666-94cc-406e-bf87-afa37b933945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顺周期确认逻辑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连续背离后仍下跌，说明左侧资金被套、无人接盘，即进入顺周期；此时应等待大级别背离共振。</w:t>
      </w:r>
      <w:bookmarkEnd w:id="103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6f19f8-bf23-4f45-aab3-7b9b53425c56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筹码分布佐证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底部横盘后筹码峰集中、右侧峰明显，佐证主力吸筹完成；顶部筹码发散、右峰消失，印证出货完毕。</w:t>
      </w:r>
      <w:bookmarkEnd w:id="104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c94aa81c51d46d0ba5e022f85839c06" w:id="104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典型案例复盘与操作推演 </w:t>
      </w:r>
      <w:bookmarkEnd w:id="104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acfc5e4-4917-4b92-9fca-3f40fa8c9583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高位红翻绿B1警示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白线处于历史高位+红柱转绿 → 属危险B1；若次日低开击穿白线，30秒内急跌8%，必须立即离场。</w:t>
      </w:r>
      <w:bookmarkEnd w:id="104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680fcd-a37a-48d6-943d-6a2502c7d116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黄线B1成功范式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娜娜图案例：股价回调至黄线（29.24元），收盘价29.21元微破，设止损于黄线下方；次日平开上涨，分三批建仓，最终实现70%涨幅。</w:t>
      </w:r>
      <w:bookmarkEnd w:id="104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b428e91-586d-4643-a4fc-71ea67ce0394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失败B1归因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白线高位B1后绿柱持续放大、白线继续下行 → 背离未终结；两日内未修复即清仓，避免深套。</w:t>
      </w:r>
      <w:bookmarkEnd w:id="104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dbbc3f568f94087aed2c1b3d3353a63" w:id="104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终极交易哲学总结 </w:t>
      </w:r>
      <w:bookmarkEnd w:id="104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e96538-d48e-4433-8a83-8d8290937c0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无完美交易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S1未出现即离场、标的未给足波段，皆属常态；接受遗憾是成熟交易者标志。</w:t>
      </w:r>
      <w:bookmarkEnd w:id="1046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360bb63-f9f3-44c8-a1a4-ef52ee272a56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框架＞技巧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每日复盘将“呜呜呜”经验沉淀为个人交易框架；细节决定专业高度，魔鬼藏于MACD柱长、白黄线间距、量能阶梯等微观结构。</w:t>
      </w:r>
      <w:bookmarkEnd w:id="104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1183e5d-6515-4e02-a7f0-6f194cba10fd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合规底线重申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全程强调“纯科普”“无推荐”“无操作指引”；规避荐股红线，所有结论标注“案例教学，不构成投资建议”。</w:t>
      </w:r>
      <w:bookmarkEnd w:id="104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a83ab90cffd40e196800b2af18a6dd7" w:id="104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2026-04-30T16:15:22Z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y3GXx30iOSFHM0NSrvsAYGDiqSByVP4oc1hFB/SfYU=","ProduceID":"ai_zongjie:b0fc702fc71f57eaa404dca66d28f23a","ReservedCode2":"Ky3GXx30iOSFHM0NSrvsAYGDiqSByVP4oc1hFB/SfYU=","PropagateID":"ai_zongjie:b0fc702fc71f57eaa404dca66d28f23a","ContentProducer":"001191440101MA9Y9T4H7A00000"}</vt:lpwstr>
  </property>
</Properties>
</file>