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d28ca58446e4aa5a56938613775808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基于MACD指标与砖形图（专精图）的实战应对策略，核心强调“应对优于预测”，重点解析B1/B2买点识别、白线/黄线位置可靠性判断、顶背离与死叉多信号、止损纪律及极限博弈心理。视频反复指出：多头区间内红柱为关键前提；白线位置不可靠需配合次日不低开、不破位验证；黄线位置具高交易价值但需缩量+未翻绿双重确认；所有操作必须设止损、分批放飞、丢掉幻想，以概率思维和纪律执行替代主观赌博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975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1752622f7794ffd97b79a9485a9dc4a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核心理念：应对是交易本质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52a1ed-6c36-4bc0-be30-7fc541d7785a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应对始于盘前与盘中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应对不是等第二天才开始，而是从集合竞价第一分钟就启动。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ad08953-81e3-4517-8716-383e858b3c4e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应对即全程动态决策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杜绝“闭眼蹦迪”式持股，拒绝等待S1或破白线的被动状态，须时时刻刻根据盘面变化调整。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9354ea-9016-4a36-8515-135dfd355c6f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少操作即少犯错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过度操作增加错误概率，应对的本质是减少无效动作，提升决策质量。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a3b66ca2b8a4a868c7979afca180587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买点识别体系：B1/B2与专精图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c4e90f-9a0f-4161-a040-ee348c769da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B1定义与失效条件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B1指价格首次回调至关键支撑位（如白线、黄线）形成的买入信号；若未创历史新高、无明确依据，则“S一卖不纠结，没有任何操作建议”。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965df1-4bda-4676-9eab-f9e0f8e0708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第一个B1不做原理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初次回调常伴随MACD红柱转绿柱，属空头试探，成功率低，应跳过。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81bb64-b74f-43d1-9641-70c5fa0aef9f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B2/B3有效性提升逻辑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后续回调更接近主力成本区，配合黄线支撑、缩量、未翻绿等条件，交易价值显著提高。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44b10e-f390-48a9-8f28-ae2ae5dc1a9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专精图（砖形图）定义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指MACD多头区间内出现的红色柱体序列，要求“红长绿短”，首块红砖成功率较低，需观察是否“插上”（次日不低开、不破白线）。</w:t>
      </w:r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b64c17f025f4ba98d7f82a3f0ef9e79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关键位置判定：白线与黄线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c8fbec-6b22-4c61-9035-d5cbde5d6a41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白线位置不可靠性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白线处于历史高位时，因刚从高点回落，支撑效力弱，“上去就上，你堵得上去，那就都都上了；没上，这不黄线位置给了你吗？”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7ebc0c-2d39-432d-8d36-4dedd59f5de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黄线位置交易价值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黄线代表中期成本中枢，当价格回调至黄线附近且未跌破、MACD未翻绿、成交量缩至极致时，构成高盈亏比搏杀点。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93a7e2-ff0a-4c10-9cc1-c63b0fa33345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黄线失效预警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单看黄线易被洗盘，须叠加MACD“一票否决权”：若考验黄线时MACD已翻绿，则放弃博弈。</w:t>
      </w:r>
      <w:bookmarkEnd w:id="101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49844d9e2284f439742dc644c6d972f" w:id="101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信号验证体系：MACD与背离 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c6d895-fe66-4991-9ba8-1f8091b250de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多头区间硬性前提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所有专精图操作必须满足MACD在零轴之上且柱体为红色，“红柱，记住这是红柱”。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c4038a-567c-4f65-b23c-3c5a7604ce4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顶背离判定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高点抬高但MACD红柱峰值降低，叠加次高点放量，构成“标准送分题”级别风险信号。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989028-afe4-400e-97de-97a120c4687f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死叉多（金叉空）含义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MACD快慢线在零轴上方二次金叉后迅速死叉，属多头内部清洗，若红柱未缩、未翻绿，仍可持有。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3353ff8313a4f379e46195833998de2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操作纪律：止损、放飞与仓位管理 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4d7080-8acd-4b55-b2f7-ef5ebe951514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止损设置三原则 </w:t>
      </w:r>
      <w:bookmarkEnd w:id="102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8598ab-ad0e-47ff-98ee-ef168efa727e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第一，必须设止损：“能能设止损，把止损设好”；</w:t>
      </w:r>
      <w:bookmarkEnd w:id="102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abb082e-743b-4d94-8105-7d1dfc8783a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第二，位置要合理：“第二天不能跳空低开破白线”“破黄线就走”；</w:t>
      </w:r>
      <w:bookmarkEnd w:id="102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f9ddf5-9885-43a4-8e71-32fd3a027ce0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第三，执行要坚决：“赢转亏第二部不放飞，第二部赢转亏”。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08c333c-03f2-4fb8-b33a-d92e62ab4c9a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放飞（止盈）节奏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“上涨的都可以放飞”，非追求满涨，而是在盈利扩大后分批了结，如“八个点起来你就要放飞”。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eb47bd-dc09-4377-8cc1-590c6ef62b24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仓位哲学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“仓位是最重要的”，选股次之；多头区间可配置ETF等宽基，无需苛求个股完美。</w:t>
      </w:r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8575c164acf4a67b737cf3b408cdfe4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市场认知：非零和博弈与经验积累 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aa3b40-b219-4e65-9865-d091b708d59c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驳零和游戏谬误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股票市场非期货式零和，股价上涨使全市场市值增加，大股东质押融资亦创造流动性，本质是“共赢市场”。</w:t>
      </w:r>
      <w:bookmarkEnd w:id="102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5ff4321-2764-4bdf-8f2a-005c41cfdd7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交易即选择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“赌就是选择”，选票、选时、选点皆为概率决策，盈利源于持续优化选择胜率。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0903ce-2e66-4655-961a-08241da4344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经验迭代路径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所有战法均来自“每天总结经验→提炼大概率规律→补丁进交易系统”的闭环，如“MACD可嫁接到所有战法里边，作为最后的顾问”。</w:t>
      </w:r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bcb273cd5064b7fa2f34afdf8b6b48e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极端行情应对：极限博弈与惯性思维 </w:t>
      </w:r>
      <w:bookmarkEnd w:id="103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606d8b-9ac2-43b8-a3a5-5c0ab83a7951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极限点特征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股价跌至黄线下但MACD仍红、成交量缩至极致、多头区间未破坏，形成“极限加缩量，极限加博弈”的高赔率机会。</w:t>
      </w:r>
      <w:bookmarkEnd w:id="103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552b68-c4ff-47bd-a68f-518b4fa6885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惯性原理类比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如投掷球前必先引臂后拉，市场短期反向波动恰是向上惯性的前置动作，“所有人都知道网上打出去，但是你是不是先回来”。</w:t>
      </w:r>
      <w:bookmarkEnd w:id="103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0672ca-1bd1-47ee-b3a2-bacf2dfc4dd8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心理建设核心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“真正的坐票的人应该保持的心理就是是空的”，允许一切发生，专注自我保护：“明天市场可以发生一切事情，而我要做的就是我先把我自己保护好”。</w:t>
      </w:r>
      <w:bookmarkEnd w:id="103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68a8075790b469b834850c6eb67009d" w:id="103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2026-05-01T04:33:07Z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X5HG2NwB3AcFoiTZipqMumxWVELRq0HkF72B59R9cA=","ProduceID":"ai_zongjie:40708d066546bd930eb4d281b87a4d8b","ReservedCode2":"wX5HG2NwB3AcFoiTZipqMumxWVELRq0HkF72B59R9cA=","PropagateID":"ai_zongjie:40708d066546bd930eb4d281b87a4d8b","ContentProducer":"001191440101MA9Y9T4H7A00000"}</vt:lpwstr>
  </property>
</Properties>
</file>